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294640</wp:posOffset>
            </wp:positionH>
            <wp:positionV relativeFrom="page">
              <wp:posOffset>574040</wp:posOffset>
            </wp:positionV>
            <wp:extent cx="69596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9600"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594360</wp:posOffset>
            </wp:positionV>
            <wp:extent cx="69596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9600" cy="6985"/>
                    </a:xfrm>
                    <a:prstGeom prst="rect">
                      <a:avLst/>
                    </a:prstGeom>
                    <a:noFill/>
                  </pic:spPr>
                </pic:pic>
              </a:graphicData>
            </a:graphic>
          </wp:anchor>
        </w:drawing>
        <w:t>UNITED STATES</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100330</wp:posOffset>
            </wp:positionV>
            <wp:extent cx="1771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1650" cy="698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164465</wp:posOffset>
            </wp:positionV>
            <wp:extent cx="17716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1650"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181" w:lineRule="exact"/>
        <w:rPr>
          <w:sz w:val="24"/>
          <w:szCs w:val="24"/>
          <w:color w:val="auto"/>
        </w:rPr>
      </w:pPr>
    </w:p>
    <w:p>
      <w:pPr>
        <w:ind w:left="700" w:hanging="472"/>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1"/>
          <w:szCs w:val="11"/>
          <w:b w:val="1"/>
          <w:bCs w:val="1"/>
          <w:color w:val="auto"/>
        </w:rPr>
        <w:t>ANNUAL REPORT PURSUANT TO SECTION 13 OR 15(d) OF THE SECURITIES EXCHANGE ACT OF 1934</w:t>
      </w:r>
    </w:p>
    <w:p>
      <w:pPr>
        <w:spacing w:after="0" w:line="26" w:lineRule="exact"/>
        <w:rPr>
          <w:sz w:val="24"/>
          <w:szCs w:val="24"/>
          <w:color w:val="auto"/>
        </w:rPr>
      </w:pPr>
    </w:p>
    <w:p>
      <w:pPr>
        <w:jc w:val="center"/>
        <w:ind w:right="260"/>
        <w:spacing w:after="0"/>
        <w:rPr>
          <w:sz w:val="20"/>
          <w:szCs w:val="20"/>
          <w:color w:val="auto"/>
        </w:rPr>
      </w:pPr>
      <w:r>
        <w:rPr>
          <w:rFonts w:ascii="Arial" w:cs="Arial" w:eastAsia="Arial" w:hAnsi="Arial"/>
          <w:sz w:val="11"/>
          <w:szCs w:val="11"/>
          <w:b w:val="1"/>
          <w:bCs w:val="1"/>
          <w:color w:val="auto"/>
        </w:rPr>
        <w:t>For the fiscal year ended January 31, 2026</w:t>
      </w:r>
    </w:p>
    <w:p>
      <w:pPr>
        <w:spacing w:after="0" w:line="23" w:lineRule="exact"/>
        <w:rPr>
          <w:sz w:val="24"/>
          <w:szCs w:val="24"/>
          <w:color w:val="auto"/>
        </w:rPr>
      </w:pPr>
    </w:p>
    <w:p>
      <w:pPr>
        <w:jc w:val="center"/>
        <w:ind w:right="260"/>
        <w:spacing w:after="0"/>
        <w:rPr>
          <w:sz w:val="20"/>
          <w:szCs w:val="20"/>
          <w:color w:val="auto"/>
        </w:rPr>
      </w:pPr>
      <w:r>
        <w:rPr>
          <w:rFonts w:ascii="Arial" w:cs="Arial" w:eastAsia="Arial" w:hAnsi="Arial"/>
          <w:sz w:val="11"/>
          <w:szCs w:val="11"/>
          <w:b w:val="1"/>
          <w:bCs w:val="1"/>
          <w:color w:val="auto"/>
        </w:rPr>
        <w:t>OR</w:t>
      </w:r>
    </w:p>
    <w:p>
      <w:pPr>
        <w:spacing w:after="0" w:line="54" w:lineRule="exact"/>
        <w:rPr>
          <w:sz w:val="24"/>
          <w:szCs w:val="24"/>
          <w:color w:val="auto"/>
        </w:rPr>
      </w:pPr>
    </w:p>
    <w:p>
      <w:pPr>
        <w:ind w:left="600" w:hanging="372"/>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11"/>
          <w:szCs w:val="11"/>
          <w:b w:val="1"/>
          <w:bCs w:val="1"/>
          <w:color w:val="auto"/>
        </w:rPr>
        <w:t>For the transition period from ________ to ________</w:t>
      </w:r>
    </w:p>
    <w:p>
      <w:pPr>
        <w:spacing w:after="0" w:line="23" w:lineRule="exact"/>
        <w:rPr>
          <w:sz w:val="24"/>
          <w:szCs w:val="24"/>
          <w:color w:val="auto"/>
        </w:rPr>
      </w:pPr>
    </w:p>
    <w:p>
      <w:pPr>
        <w:jc w:val="center"/>
        <w:ind w:right="260"/>
        <w:spacing w:after="0"/>
        <w:rPr>
          <w:sz w:val="20"/>
          <w:szCs w:val="20"/>
          <w:color w:val="auto"/>
        </w:rPr>
      </w:pPr>
      <w:r>
        <w:rPr>
          <w:rFonts w:ascii="Arial" w:cs="Arial" w:eastAsia="Arial" w:hAnsi="Arial"/>
          <w:sz w:val="11"/>
          <w:szCs w:val="11"/>
          <w:b w:val="1"/>
          <w:bCs w:val="1"/>
          <w:color w:val="auto"/>
        </w:rPr>
        <w:t>Commission File Number: 001-42922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159385</wp:posOffset>
            </wp:positionV>
            <wp:extent cx="27889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311"/>
        </w:trPr>
        <w:tc>
          <w:tcPr>
            <w:tcW w:w="3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ind w:left="300"/>
              <w:spacing w:after="0"/>
              <w:rPr>
                <w:sz w:val="20"/>
                <w:szCs w:val="20"/>
                <w:color w:val="auto"/>
              </w:rPr>
            </w:pPr>
            <w:r>
              <w:rPr>
                <w:rFonts w:ascii="Arial" w:cs="Arial" w:eastAsia="Arial" w:hAnsi="Arial"/>
                <w:sz w:val="23"/>
                <w:szCs w:val="23"/>
                <w:b w:val="1"/>
                <w:bCs w:val="1"/>
                <w:color w:val="auto"/>
              </w:rPr>
              <w:t>NAVAN, INC.</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20" w:type="dxa"/>
            <w:vAlign w:val="bottom"/>
            <w:gridSpan w:val="7"/>
          </w:tcPr>
          <w:p>
            <w:pPr>
              <w:ind w:left="80"/>
              <w:spacing w:after="0"/>
              <w:rPr>
                <w:sz w:val="20"/>
                <w:szCs w:val="20"/>
                <w:color w:val="auto"/>
              </w:rPr>
            </w:pPr>
            <w:r>
              <w:rPr>
                <w:rFonts w:ascii="Arial" w:cs="Arial" w:eastAsia="Arial" w:hAnsi="Arial"/>
                <w:sz w:val="11"/>
                <w:szCs w:val="11"/>
                <w:color w:val="auto"/>
              </w:rPr>
              <w:t>(Exact name of registrant as specified in its charter)</w:t>
            </w:r>
          </w:p>
        </w:tc>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34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0"/>
        </w:trPr>
        <w:tc>
          <w:tcPr>
            <w:tcW w:w="4300" w:type="dxa"/>
            <w:vAlign w:val="bottom"/>
            <w:tcBorders>
              <w:bottom w:val="single" w:sz="8" w:color="auto"/>
            </w:tcBorders>
            <w:gridSpan w:val="2"/>
          </w:tcPr>
          <w:p>
            <w:pPr>
              <w:jc w:val="center"/>
              <w:ind w:left="1223"/>
              <w:spacing w:after="0"/>
              <w:rPr>
                <w:sz w:val="20"/>
                <w:szCs w:val="20"/>
                <w:color w:val="auto"/>
              </w:rPr>
            </w:pPr>
            <w:r>
              <w:rPr>
                <w:rFonts w:ascii="Arial" w:cs="Arial" w:eastAsia="Arial" w:hAnsi="Arial"/>
                <w:sz w:val="11"/>
                <w:szCs w:val="11"/>
                <w:b w:val="1"/>
                <w:bCs w:val="1"/>
                <w:color w:val="auto"/>
              </w:rPr>
              <w:t>Delaware</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2443"/>
              <w:spacing w:after="0"/>
              <w:rPr>
                <w:sz w:val="20"/>
                <w:szCs w:val="20"/>
                <w:color w:val="auto"/>
              </w:rPr>
            </w:pPr>
            <w:r>
              <w:rPr>
                <w:rFonts w:ascii="Arial" w:cs="Arial" w:eastAsia="Arial" w:hAnsi="Arial"/>
                <w:sz w:val="11"/>
                <w:szCs w:val="11"/>
                <w:b w:val="1"/>
                <w:bCs w:val="1"/>
                <w:color w:val="auto"/>
              </w:rPr>
              <w:t>47-3424780</w:t>
            </w:r>
          </w:p>
        </w:tc>
        <w:tc>
          <w:tcPr>
            <w:tcW w:w="20" w:type="dxa"/>
            <w:vAlign w:val="bottom"/>
          </w:tcPr>
          <w:p>
            <w:pPr>
              <w:spacing w:after="0"/>
              <w:rPr>
                <w:sz w:val="24"/>
                <w:szCs w:val="24"/>
                <w:color w:val="auto"/>
              </w:rPr>
            </w:pPr>
          </w:p>
        </w:tc>
      </w:tr>
      <w:tr>
        <w:trPr>
          <w:trHeight w:val="144"/>
        </w:trPr>
        <w:tc>
          <w:tcPr>
            <w:tcW w:w="4300" w:type="dxa"/>
            <w:vAlign w:val="bottom"/>
            <w:gridSpan w:val="2"/>
          </w:tcPr>
          <w:p>
            <w:pPr>
              <w:jc w:val="center"/>
              <w:ind w:left="1243"/>
              <w:spacing w:after="0"/>
              <w:rPr>
                <w:sz w:val="20"/>
                <w:szCs w:val="20"/>
                <w:color w:val="auto"/>
              </w:rPr>
            </w:pPr>
            <w:r>
              <w:rPr>
                <w:rFonts w:ascii="Arial" w:cs="Arial" w:eastAsia="Arial" w:hAnsi="Arial"/>
                <w:sz w:val="11"/>
                <w:szCs w:val="11"/>
                <w:color w:val="auto"/>
              </w:rPr>
              <w:t>(State or other jurisdiction of incorporation or organization)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40" w:type="dxa"/>
            <w:vAlign w:val="bottom"/>
            <w:gridSpan w:val="2"/>
          </w:tcPr>
          <w:p>
            <w:pPr>
              <w:jc w:val="center"/>
              <w:ind w:right="1503"/>
              <w:spacing w:after="0"/>
              <w:rPr>
                <w:sz w:val="20"/>
                <w:szCs w:val="20"/>
                <w:color w:val="auto"/>
              </w:rPr>
            </w:pPr>
            <w:r>
              <w:rPr>
                <w:rFonts w:ascii="Arial" w:cs="Arial" w:eastAsia="Arial" w:hAnsi="Arial"/>
                <w:sz w:val="11"/>
                <w:szCs w:val="11"/>
                <w:color w:val="auto"/>
              </w:rPr>
              <w:t>(I.R.S. Employer Identification Number)</w:t>
            </w:r>
          </w:p>
        </w:tc>
        <w:tc>
          <w:tcPr>
            <w:tcW w:w="20" w:type="dxa"/>
            <w:vAlign w:val="bottom"/>
          </w:tcPr>
          <w:p>
            <w:pPr>
              <w:spacing w:after="0"/>
              <w:rPr>
                <w:sz w:val="12"/>
                <w:szCs w:val="12"/>
                <w:color w:val="auto"/>
              </w:rPr>
            </w:pPr>
          </w:p>
        </w:tc>
      </w:tr>
      <w:tr>
        <w:trPr>
          <w:trHeight w:val="378"/>
        </w:trPr>
        <w:tc>
          <w:tcPr>
            <w:tcW w:w="4300" w:type="dxa"/>
            <w:vAlign w:val="bottom"/>
            <w:tcBorders>
              <w:bottom w:val="single" w:sz="8" w:color="auto"/>
            </w:tcBorders>
            <w:gridSpan w:val="2"/>
          </w:tcPr>
          <w:p>
            <w:pPr>
              <w:jc w:val="center"/>
              <w:ind w:left="1243"/>
              <w:spacing w:after="0"/>
              <w:rPr>
                <w:sz w:val="20"/>
                <w:szCs w:val="20"/>
                <w:color w:val="auto"/>
              </w:rPr>
            </w:pPr>
            <w:r>
              <w:rPr>
                <w:rFonts w:ascii="Arial" w:cs="Arial" w:eastAsia="Arial" w:hAnsi="Arial"/>
                <w:sz w:val="11"/>
                <w:szCs w:val="11"/>
                <w:b w:val="1"/>
                <w:bCs w:val="1"/>
                <w:color w:val="auto"/>
              </w:rPr>
              <w:t>3045 Park Boulevard, Palo Alto, California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2583"/>
              <w:spacing w:after="0"/>
              <w:rPr>
                <w:sz w:val="20"/>
                <w:szCs w:val="20"/>
                <w:color w:val="auto"/>
              </w:rPr>
            </w:pPr>
            <w:r>
              <w:rPr>
                <w:rFonts w:ascii="Arial" w:cs="Arial" w:eastAsia="Arial" w:hAnsi="Arial"/>
                <w:sz w:val="11"/>
                <w:szCs w:val="11"/>
                <w:b w:val="1"/>
                <w:bCs w:val="1"/>
                <w:color w:val="auto"/>
              </w:rPr>
              <w:t>94306</w:t>
            </w:r>
          </w:p>
        </w:tc>
        <w:tc>
          <w:tcPr>
            <w:tcW w:w="20" w:type="dxa"/>
            <w:vAlign w:val="bottom"/>
          </w:tcPr>
          <w:p>
            <w:pPr>
              <w:spacing w:after="0"/>
              <w:rPr>
                <w:sz w:val="24"/>
                <w:szCs w:val="24"/>
                <w:color w:val="auto"/>
              </w:rPr>
            </w:pPr>
          </w:p>
        </w:tc>
      </w:tr>
      <w:tr>
        <w:trPr>
          <w:trHeight w:val="144"/>
        </w:trPr>
        <w:tc>
          <w:tcPr>
            <w:tcW w:w="4300" w:type="dxa"/>
            <w:vAlign w:val="bottom"/>
            <w:gridSpan w:val="2"/>
          </w:tcPr>
          <w:p>
            <w:pPr>
              <w:jc w:val="center"/>
              <w:ind w:left="1223"/>
              <w:spacing w:after="0"/>
              <w:rPr>
                <w:sz w:val="20"/>
                <w:szCs w:val="20"/>
                <w:color w:val="auto"/>
              </w:rPr>
            </w:pPr>
            <w:r>
              <w:rPr>
                <w:rFonts w:ascii="Arial" w:cs="Arial" w:eastAsia="Arial" w:hAnsi="Arial"/>
                <w:sz w:val="11"/>
                <w:szCs w:val="11"/>
                <w:color w:val="auto"/>
              </w:rPr>
              <w:t>(Address of principal executive offices)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tcPr>
          <w:p>
            <w:pPr>
              <w:jc w:val="center"/>
              <w:ind w:right="2143"/>
              <w:spacing w:after="0"/>
              <w:rPr>
                <w:sz w:val="20"/>
                <w:szCs w:val="20"/>
                <w:color w:val="auto"/>
              </w:rPr>
            </w:pPr>
            <w:r>
              <w:rPr>
                <w:rFonts w:ascii="Arial" w:cs="Arial" w:eastAsia="Arial" w:hAnsi="Arial"/>
                <w:sz w:val="11"/>
                <w:szCs w:val="11"/>
                <w:color w:val="auto"/>
              </w:rPr>
              <w:t>(Zip Code)</w:t>
            </w:r>
          </w:p>
        </w:tc>
        <w:tc>
          <w:tcPr>
            <w:tcW w:w="20" w:type="dxa"/>
            <w:vAlign w:val="bottom"/>
          </w:tcPr>
          <w:p>
            <w:pPr>
              <w:spacing w:after="0"/>
              <w:rPr>
                <w:sz w:val="12"/>
                <w:szCs w:val="12"/>
                <w:color w:val="auto"/>
              </w:rPr>
            </w:pPr>
          </w:p>
        </w:tc>
      </w:tr>
      <w:tr>
        <w:trPr>
          <w:trHeight w:val="159"/>
        </w:trPr>
        <w:tc>
          <w:tcPr>
            <w:tcW w:w="3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00" w:type="dxa"/>
            <w:vAlign w:val="bottom"/>
            <w:gridSpan w:val="5"/>
          </w:tcPr>
          <w:p>
            <w:pPr>
              <w:jc w:val="center"/>
              <w:ind w:left="303"/>
              <w:spacing w:after="0"/>
              <w:rPr>
                <w:sz w:val="20"/>
                <w:szCs w:val="20"/>
                <w:color w:val="auto"/>
              </w:rPr>
            </w:pPr>
            <w:r>
              <w:rPr>
                <w:rFonts w:ascii="Arial" w:cs="Arial" w:eastAsia="Arial" w:hAnsi="Arial"/>
                <w:sz w:val="11"/>
                <w:szCs w:val="11"/>
                <w:color w:val="auto"/>
              </w:rPr>
              <w:t>(888) 505-8747</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gridSpan w:val="7"/>
          </w:tcPr>
          <w:p>
            <w:pPr>
              <w:jc w:val="center"/>
              <w:ind w:right="260"/>
              <w:spacing w:after="0"/>
              <w:rPr>
                <w:sz w:val="20"/>
                <w:szCs w:val="20"/>
                <w:color w:val="auto"/>
              </w:rPr>
            </w:pPr>
            <w:r>
              <w:rPr>
                <w:rFonts w:ascii="Arial" w:cs="Arial" w:eastAsia="Arial" w:hAnsi="Arial"/>
                <w:sz w:val="11"/>
                <w:szCs w:val="11"/>
                <w:color w:val="auto"/>
              </w:rPr>
              <w:t>Registrant’s telephone number, including area code</w:t>
            </w:r>
          </w:p>
        </w:tc>
        <w:tc>
          <w:tcPr>
            <w:tcW w:w="6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5"/>
        </w:trPr>
        <w:tc>
          <w:tcPr>
            <w:tcW w:w="4300" w:type="dxa"/>
            <w:vAlign w:val="bottom"/>
            <w:tcBorders>
              <w:bottom w:val="single" w:sz="8" w:color="auto"/>
            </w:tcBorders>
            <w:gridSpan w:val="2"/>
          </w:tcPr>
          <w:p>
            <w:pPr>
              <w:jc w:val="center"/>
              <w:ind w:left="223"/>
              <w:spacing w:after="0"/>
              <w:rPr>
                <w:sz w:val="20"/>
                <w:szCs w:val="20"/>
                <w:color w:val="auto"/>
              </w:rPr>
            </w:pPr>
            <w:r>
              <w:rPr>
                <w:rFonts w:ascii="Arial" w:cs="Arial" w:eastAsia="Arial" w:hAnsi="Arial"/>
                <w:sz w:val="11"/>
                <w:szCs w:val="11"/>
                <w:color w:val="auto"/>
              </w:rPr>
              <w:t>Title of each class</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color w:val="auto"/>
              </w:rPr>
              <w:t>Trading Symbol(s)</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1103"/>
              <w:spacing w:after="0"/>
              <w:rPr>
                <w:sz w:val="20"/>
                <w:szCs w:val="20"/>
                <w:color w:val="auto"/>
              </w:rPr>
            </w:pPr>
            <w:r>
              <w:rPr>
                <w:rFonts w:ascii="Arial" w:cs="Arial" w:eastAsia="Arial" w:hAnsi="Arial"/>
                <w:sz w:val="11"/>
                <w:szCs w:val="11"/>
                <w:color w:val="auto"/>
              </w:rPr>
              <w:t>Name of each exchange on which registered</w:t>
            </w:r>
          </w:p>
        </w:tc>
        <w:tc>
          <w:tcPr>
            <w:tcW w:w="20" w:type="dxa"/>
            <w:vAlign w:val="bottom"/>
            <w:tcBorders>
              <w:bottom w:val="single" w:sz="8" w:color="auto"/>
            </w:tcBorders>
          </w:tcPr>
          <w:p>
            <w:pPr>
              <w:spacing w:after="0"/>
              <w:rPr>
                <w:sz w:val="24"/>
                <w:szCs w:val="24"/>
                <w:color w:val="auto"/>
              </w:rPr>
            </w:pPr>
          </w:p>
        </w:tc>
      </w:tr>
      <w:tr>
        <w:trPr>
          <w:trHeight w:val="153"/>
        </w:trPr>
        <w:tc>
          <w:tcPr>
            <w:tcW w:w="4300" w:type="dxa"/>
            <w:vAlign w:val="bottom"/>
            <w:gridSpan w:val="2"/>
          </w:tcPr>
          <w:p>
            <w:pPr>
              <w:jc w:val="center"/>
              <w:ind w:left="243"/>
              <w:spacing w:after="0"/>
              <w:rPr>
                <w:sz w:val="20"/>
                <w:szCs w:val="20"/>
                <w:color w:val="auto"/>
              </w:rPr>
            </w:pPr>
            <w:r>
              <w:rPr>
                <w:rFonts w:ascii="Arial" w:cs="Arial" w:eastAsia="Arial" w:hAnsi="Arial"/>
                <w:sz w:val="11"/>
                <w:szCs w:val="11"/>
                <w:b w:val="1"/>
                <w:bCs w:val="1"/>
                <w:color w:val="auto"/>
              </w:rPr>
              <w:t>Class A Common Stock, par value $0.00000625 per share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1"/>
                <w:szCs w:val="11"/>
                <w:b w:val="1"/>
                <w:bCs w:val="1"/>
                <w:color w:val="auto"/>
                <w:w w:val="96"/>
              </w:rPr>
              <w:t>NAVN</w:t>
            </w:r>
          </w:p>
        </w:tc>
        <w:tc>
          <w:tcPr>
            <w:tcW w:w="620" w:type="dxa"/>
            <w:vAlign w:val="bottom"/>
          </w:tcPr>
          <w:p>
            <w:pPr>
              <w:spacing w:after="0"/>
              <w:rPr>
                <w:sz w:val="13"/>
                <w:szCs w:val="13"/>
                <w:color w:val="auto"/>
              </w:rPr>
            </w:pPr>
          </w:p>
        </w:tc>
        <w:tc>
          <w:tcPr>
            <w:tcW w:w="3420" w:type="dxa"/>
            <w:vAlign w:val="bottom"/>
          </w:tcPr>
          <w:p>
            <w:pPr>
              <w:jc w:val="center"/>
              <w:ind w:right="1103"/>
              <w:spacing w:after="0"/>
              <w:rPr>
                <w:sz w:val="20"/>
                <w:szCs w:val="20"/>
                <w:color w:val="auto"/>
              </w:rPr>
            </w:pPr>
            <w:r>
              <w:rPr>
                <w:rFonts w:ascii="Arial" w:cs="Arial" w:eastAsia="Arial" w:hAnsi="Arial"/>
                <w:sz w:val="11"/>
                <w:szCs w:val="11"/>
                <w:b w:val="1"/>
                <w:bCs w:val="1"/>
                <w:color w:val="auto"/>
              </w:rPr>
              <w:t>The Nasdaq Stock Market LLC</w:t>
            </w:r>
          </w:p>
        </w:tc>
        <w:tc>
          <w:tcPr>
            <w:tcW w:w="20" w:type="dxa"/>
            <w:vAlign w:val="bottom"/>
          </w:tcPr>
          <w:p>
            <w:pPr>
              <w:spacing w:after="0"/>
              <w:rPr>
                <w:sz w:val="13"/>
                <w:szCs w:val="13"/>
                <w:color w:val="auto"/>
              </w:rPr>
            </w:pPr>
          </w:p>
        </w:tc>
      </w:tr>
    </w:tbl>
    <w:p>
      <w:pPr>
        <w:spacing w:after="0" w:line="196"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28" w:lineRule="exact"/>
        <w:rPr>
          <w:sz w:val="24"/>
          <w:szCs w:val="24"/>
          <w:color w:val="auto"/>
        </w:rPr>
      </w:pPr>
    </w:p>
    <w:p>
      <w:pPr>
        <w:ind w:right="4740"/>
        <w:spacing w:after="0" w:line="185"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 w:lineRule="exact"/>
        <w:rPr>
          <w:sz w:val="24"/>
          <w:szCs w:val="24"/>
          <w:color w:val="auto"/>
        </w:rPr>
      </w:pPr>
    </w:p>
    <w:p>
      <w:pPr>
        <w:ind w:right="400"/>
        <w:spacing w:after="0" w:line="15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7" w:lineRule="exact"/>
        <w:rPr>
          <w:sz w:val="24"/>
          <w:szCs w:val="24"/>
          <w:color w:val="auto"/>
        </w:rPr>
      </w:pPr>
    </w:p>
    <w:p>
      <w:pPr>
        <w:jc w:val="both"/>
        <w:ind w:right="20"/>
        <w:spacing w:after="0" w:line="15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23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6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3540" w:type="dxa"/>
            <w:vAlign w:val="bottom"/>
          </w:tcPr>
          <w:p>
            <w:pPr>
              <w:ind w:left="580"/>
              <w:spacing w:after="0"/>
              <w:rPr>
                <w:sz w:val="20"/>
                <w:szCs w:val="20"/>
                <w:color w:val="auto"/>
              </w:rPr>
            </w:pPr>
            <w:r>
              <w:rPr>
                <w:rFonts w:ascii="Arial" w:cs="Arial" w:eastAsia="Arial" w:hAnsi="Arial"/>
                <w:sz w:val="11"/>
                <w:szCs w:val="11"/>
                <w:color w:val="auto"/>
              </w:rPr>
              <w:t>Accelerated filer</w:t>
            </w:r>
          </w:p>
        </w:tc>
        <w:tc>
          <w:tcPr>
            <w:tcW w:w="1740" w:type="dxa"/>
            <w:vAlign w:val="bottom"/>
          </w:tcPr>
          <w:p>
            <w:pPr>
              <w:ind w:left="1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2320" w:type="dxa"/>
            <w:vAlign w:val="bottom"/>
          </w:tcPr>
          <w:p>
            <w:pPr>
              <w:spacing w:after="0"/>
              <w:rPr>
                <w:sz w:val="20"/>
                <w:szCs w:val="20"/>
                <w:color w:val="auto"/>
              </w:rPr>
            </w:pPr>
            <w:r>
              <w:rPr>
                <w:rFonts w:ascii="Arial" w:cs="Arial" w:eastAsia="Arial" w:hAnsi="Arial"/>
                <w:sz w:val="11"/>
                <w:szCs w:val="11"/>
                <w:color w:val="auto"/>
              </w:rPr>
              <w:t>Non-accelerated filer</w:t>
            </w:r>
          </w:p>
        </w:tc>
        <w:tc>
          <w:tcPr>
            <w:tcW w:w="16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3540" w:type="dxa"/>
            <w:vAlign w:val="bottom"/>
          </w:tcPr>
          <w:p>
            <w:pPr>
              <w:ind w:left="580"/>
              <w:spacing w:after="0"/>
              <w:rPr>
                <w:sz w:val="20"/>
                <w:szCs w:val="20"/>
                <w:color w:val="auto"/>
              </w:rPr>
            </w:pPr>
            <w:r>
              <w:rPr>
                <w:rFonts w:ascii="Arial" w:cs="Arial" w:eastAsia="Arial" w:hAnsi="Arial"/>
                <w:sz w:val="11"/>
                <w:szCs w:val="11"/>
                <w:color w:val="auto"/>
              </w:rPr>
              <w:t>Smaller reporting company</w:t>
            </w:r>
          </w:p>
        </w:tc>
        <w:tc>
          <w:tcPr>
            <w:tcW w:w="1740" w:type="dxa"/>
            <w:vAlign w:val="bottom"/>
          </w:tcPr>
          <w:p>
            <w:pPr>
              <w:ind w:left="1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23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16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90" w:lineRule="exact"/>
        <w:rPr>
          <w:sz w:val="24"/>
          <w:szCs w:val="24"/>
          <w:color w:val="auto"/>
        </w:rPr>
      </w:pPr>
    </w:p>
    <w:p>
      <w:pPr>
        <w:ind w:right="100"/>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7" w:lineRule="exact"/>
        <w:rPr>
          <w:sz w:val="24"/>
          <w:szCs w:val="24"/>
          <w:color w:val="auto"/>
        </w:rPr>
      </w:pPr>
    </w:p>
    <w:p>
      <w:pPr>
        <w:jc w:val="both"/>
        <w:ind w:right="40"/>
        <w:spacing w:after="0" w:line="151"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6" w:lineRule="exact"/>
        <w:rPr>
          <w:sz w:val="24"/>
          <w:szCs w:val="24"/>
          <w:color w:val="auto"/>
        </w:rPr>
      </w:pPr>
    </w:p>
    <w:p>
      <w:pPr>
        <w:ind w:right="380"/>
        <w:spacing w:after="0" w:line="151"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7" w:lineRule="exact"/>
        <w:rPr>
          <w:sz w:val="24"/>
          <w:szCs w:val="24"/>
          <w:color w:val="auto"/>
        </w:rPr>
      </w:pPr>
    </w:p>
    <w:p>
      <w:pPr>
        <w:ind w:right="360"/>
        <w:spacing w:after="0" w:line="151"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9" w:lineRule="exact"/>
        <w:rPr>
          <w:sz w:val="24"/>
          <w:szCs w:val="24"/>
          <w:color w:val="auto"/>
        </w:rPr>
      </w:pPr>
    </w:p>
    <w:p>
      <w:pPr>
        <w:jc w:val="both"/>
        <w:ind w:right="40"/>
        <w:spacing w:after="0" w:line="282" w:lineRule="auto"/>
        <w:rPr>
          <w:sz w:val="20"/>
          <w:szCs w:val="20"/>
          <w:color w:val="auto"/>
        </w:rPr>
      </w:pPr>
      <w:r>
        <w:rPr>
          <w:rFonts w:ascii="Arial" w:cs="Arial" w:eastAsia="Arial" w:hAnsi="Arial"/>
          <w:sz w:val="11"/>
          <w:szCs w:val="11"/>
          <w:color w:val="auto"/>
        </w:rPr>
        <w:t>As of July 31, 2025, the last business day of its most recently completed second fiscal quarter, the registrant’s common stock was not publicly traded. The registrant’s Class A common stock began trading on the Nasdaq Stock Market LLC on October 30, 2025. As of March 30, 2026, the aggregate market value of the registrant’s Class A common stock held by non-affiliates of the registrant was approximately $1.4 billion (based upon the closing sale price of the common stock on that date on The Nasdaq Stock Market LLC).</w:t>
      </w:r>
    </w:p>
    <w:p>
      <w:pPr>
        <w:spacing w:after="0" w:line="10" w:lineRule="exact"/>
        <w:rPr>
          <w:sz w:val="24"/>
          <w:szCs w:val="24"/>
          <w:color w:val="auto"/>
        </w:rPr>
      </w:pPr>
    </w:p>
    <w:p>
      <w:pPr>
        <w:spacing w:after="0"/>
        <w:rPr>
          <w:sz w:val="20"/>
          <w:szCs w:val="20"/>
          <w:color w:val="auto"/>
        </w:rPr>
      </w:pPr>
      <w:r>
        <w:rPr>
          <w:rFonts w:ascii="Arial" w:cs="Arial" w:eastAsia="Arial" w:hAnsi="Arial"/>
          <w:sz w:val="11"/>
          <w:szCs w:val="11"/>
          <w:color w:val="auto"/>
        </w:rPr>
        <w:t>As of March 30, 2026, Navan, Inc. had outstanding 235,456,318 shares of Class A common stock, par value of $0.00000625, and 15,304,696 shares of Class B common stock, par value $0.00000625.</w:t>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DOCUMENTS INCORPORATED BY REFERENCE</w:t>
      </w:r>
    </w:p>
    <w:p>
      <w:pPr>
        <w:spacing w:after="0" w:line="43" w:lineRule="exact"/>
        <w:rPr>
          <w:sz w:val="24"/>
          <w:szCs w:val="24"/>
          <w:color w:val="auto"/>
        </w:rPr>
      </w:pPr>
    </w:p>
    <w:p>
      <w:pPr>
        <w:ind w:right="60"/>
        <w:spacing w:after="0" w:line="303" w:lineRule="auto"/>
        <w:rPr>
          <w:sz w:val="20"/>
          <w:szCs w:val="20"/>
          <w:color w:val="auto"/>
        </w:rPr>
      </w:pPr>
      <w:r>
        <w:rPr>
          <w:rFonts w:ascii="Arial" w:cs="Arial" w:eastAsia="Arial" w:hAnsi="Arial"/>
          <w:sz w:val="11"/>
          <w:szCs w:val="11"/>
          <w:color w:val="auto"/>
        </w:rPr>
        <w:t>Portions of the registrant’s definitive proxy statement relating to the registrant’s 2026 Annual Meeting of Stockholders, which will be filed with the Securities and Exchange Commission within 120 days after the end of the fiscal year ended January 31, 2026,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551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wp:posOffset>
            </wp:positionV>
            <wp:extent cx="71551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60" w:type="dxa"/>
            <w:vAlign w:val="bottom"/>
            <w:gridSpan w:val="7"/>
          </w:tcPr>
          <w:p>
            <w:pPr>
              <w:ind w:left="240"/>
              <w:spacing w:after="0"/>
              <w:rPr>
                <w:sz w:val="20"/>
                <w:szCs w:val="20"/>
                <w:color w:val="auto"/>
              </w:rPr>
            </w:pPr>
            <w:r>
              <w:rPr>
                <w:rFonts w:ascii="Arial" w:cs="Arial" w:eastAsia="Arial" w:hAnsi="Arial"/>
                <w:sz w:val="14"/>
                <w:szCs w:val="14"/>
                <w:b w:val="1"/>
                <w:bCs w:val="1"/>
                <w:color w:val="auto"/>
              </w:rPr>
              <w:t>TABLE OF CONTENTS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PART 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70"/>
        </w:trPr>
        <w:tc>
          <w:tcPr>
            <w:tcW w:w="920" w:type="dxa"/>
            <w:vAlign w:val="bottom"/>
            <w:vMerge w:val="continue"/>
          </w:tcPr>
          <w:p>
            <w:pPr>
              <w:spacing w:after="0"/>
              <w:rPr>
                <w:sz w:val="14"/>
                <w:szCs w:val="14"/>
                <w:color w:val="auto"/>
              </w:rPr>
            </w:pPr>
          </w:p>
        </w:tc>
        <w:tc>
          <w:tcPr>
            <w:tcW w:w="3360" w:type="dxa"/>
            <w:vAlign w:val="bottom"/>
            <w:gridSpan w:val="13"/>
            <w:vMerge w:val="restart"/>
          </w:tcPr>
          <w:p>
            <w:pPr>
              <w:spacing w:after="0"/>
              <w:rPr>
                <w:sz w:val="20"/>
                <w:szCs w:val="20"/>
                <w:color w:val="auto"/>
              </w:rPr>
            </w:pPr>
            <w:r>
              <w:rPr>
                <w:rFonts w:ascii="Arial" w:cs="Arial" w:eastAsia="Arial" w:hAnsi="Arial"/>
                <w:sz w:val="14"/>
                <w:szCs w:val="14"/>
                <w:color w:val="0000FF"/>
              </w:rPr>
              <w:t>Special Note Regarding Forward-Looking Statements</w:t>
            </w:r>
          </w:p>
        </w:tc>
        <w:tc>
          <w:tcPr>
            <w:tcW w:w="5700" w:type="dxa"/>
            <w:vAlign w:val="bottom"/>
            <w:gridSpan w:val="9"/>
            <w:vMerge w:val="restart"/>
          </w:tcPr>
          <w:p>
            <w:pPr>
              <w:spacing w:after="0"/>
              <w:rPr>
                <w:sz w:val="14"/>
                <w:szCs w:val="14"/>
                <w:color w:val="auto"/>
              </w:rPr>
            </w:pPr>
          </w:p>
        </w:tc>
        <w:tc>
          <w:tcPr>
            <w:tcW w:w="400" w:type="dxa"/>
            <w:vAlign w:val="bottom"/>
            <w:gridSpan w:val="2"/>
            <w:vMerge w:val="restart"/>
          </w:tcPr>
          <w:p>
            <w:pPr>
              <w:jc w:val="center"/>
              <w:ind w:left="250"/>
              <w:spacing w:after="0"/>
              <w:rPr>
                <w:sz w:val="20"/>
                <w:szCs w:val="20"/>
                <w:color w:val="auto"/>
              </w:rPr>
            </w:pPr>
            <w:r>
              <w:rPr>
                <w:rFonts w:ascii="Arial" w:cs="Arial" w:eastAsia="Arial" w:hAnsi="Arial"/>
                <w:sz w:val="14"/>
                <w:szCs w:val="14"/>
                <w:color w:val="3051F2"/>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360" w:type="dxa"/>
            <w:vAlign w:val="bottom"/>
            <w:gridSpan w:val="13"/>
            <w:vMerge w:val="continue"/>
          </w:tcPr>
          <w:p>
            <w:pPr>
              <w:spacing w:after="0"/>
              <w:rPr>
                <w:sz w:val="12"/>
                <w:szCs w:val="12"/>
                <w:color w:val="auto"/>
              </w:rPr>
            </w:pPr>
          </w:p>
        </w:tc>
        <w:tc>
          <w:tcPr>
            <w:tcW w:w="5700" w:type="dxa"/>
            <w:vAlign w:val="bottom"/>
            <w:gridSpan w:val="9"/>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3360" w:type="dxa"/>
            <w:vAlign w:val="bottom"/>
            <w:gridSpan w:val="13"/>
          </w:tcPr>
          <w:p>
            <w:pPr>
              <w:spacing w:after="0"/>
              <w:rPr>
                <w:sz w:val="20"/>
                <w:szCs w:val="20"/>
                <w:color w:val="auto"/>
              </w:rPr>
            </w:pPr>
            <w:r>
              <w:rPr>
                <w:rFonts w:ascii="Arial" w:cs="Arial" w:eastAsia="Arial" w:hAnsi="Arial"/>
                <w:sz w:val="14"/>
                <w:szCs w:val="14"/>
                <w:color w:val="0000FF"/>
              </w:rPr>
              <w:t>Summary of Risk Factors</w:t>
            </w:r>
          </w:p>
        </w:tc>
        <w:tc>
          <w:tcPr>
            <w:tcW w:w="5700" w:type="dxa"/>
            <w:vAlign w:val="bottom"/>
            <w:gridSpan w:val="9"/>
          </w:tcPr>
          <w:p>
            <w:pPr>
              <w:spacing w:after="0"/>
              <w:rPr>
                <w:sz w:val="13"/>
                <w:szCs w:val="13"/>
                <w:color w:val="auto"/>
              </w:rPr>
            </w:pPr>
          </w:p>
        </w:tc>
        <w:tc>
          <w:tcPr>
            <w:tcW w:w="400" w:type="dxa"/>
            <w:vAlign w:val="bottom"/>
            <w:gridSpan w:val="2"/>
          </w:tcPr>
          <w:p>
            <w:pPr>
              <w:jc w:val="center"/>
              <w:ind w:left="250"/>
              <w:spacing w:after="0"/>
              <w:rPr>
                <w:sz w:val="20"/>
                <w:szCs w:val="20"/>
                <w:color w:val="auto"/>
              </w:rPr>
            </w:pPr>
            <w:r>
              <w:rPr>
                <w:rFonts w:ascii="Arial" w:cs="Arial" w:eastAsia="Arial" w:hAnsi="Arial"/>
                <w:sz w:val="14"/>
                <w:szCs w:val="14"/>
                <w:color w:val="0000FF"/>
              </w:rPr>
              <w:t>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9060" w:type="dxa"/>
            <w:vAlign w:val="bottom"/>
            <w:gridSpan w:val="22"/>
          </w:tcPr>
          <w:p>
            <w:pPr>
              <w:spacing w:after="0"/>
              <w:rPr>
                <w:sz w:val="20"/>
                <w:szCs w:val="20"/>
                <w:color w:val="auto"/>
              </w:rPr>
            </w:pPr>
            <w:r>
              <w:rPr>
                <w:rFonts w:ascii="Arial" w:cs="Arial" w:eastAsia="Arial" w:hAnsi="Arial"/>
                <w:sz w:val="14"/>
                <w:szCs w:val="14"/>
                <w:color w:val="0000FF"/>
              </w:rPr>
              <w:t>Industry and Market Data</w:t>
            </w:r>
          </w:p>
        </w:tc>
        <w:tc>
          <w:tcPr>
            <w:tcW w:w="400" w:type="dxa"/>
            <w:vAlign w:val="bottom"/>
            <w:gridSpan w:val="2"/>
          </w:tcPr>
          <w:p>
            <w:pPr>
              <w:jc w:val="center"/>
              <w:ind w:left="250"/>
              <w:spacing w:after="0"/>
              <w:rPr>
                <w:sz w:val="20"/>
                <w:szCs w:val="20"/>
                <w:color w:val="auto"/>
              </w:rPr>
            </w:pPr>
            <w:r>
              <w:rPr>
                <w:rFonts w:ascii="Arial" w:cs="Arial" w:eastAsia="Arial" w:hAnsi="Arial"/>
                <w:sz w:val="14"/>
                <w:szCs w:val="14"/>
                <w:color w:val="3051F2"/>
              </w:rPr>
              <w:t>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w:t>
            </w:r>
          </w:p>
        </w:tc>
        <w:tc>
          <w:tcPr>
            <w:tcW w:w="580" w:type="dxa"/>
            <w:vAlign w:val="bottom"/>
          </w:tcPr>
          <w:p>
            <w:pPr>
              <w:spacing w:after="0"/>
              <w:rPr>
                <w:sz w:val="20"/>
                <w:szCs w:val="20"/>
                <w:color w:val="auto"/>
              </w:rPr>
            </w:pPr>
            <w:r>
              <w:rPr>
                <w:rFonts w:ascii="Arial" w:cs="Arial" w:eastAsia="Arial" w:hAnsi="Arial"/>
                <w:sz w:val="14"/>
                <w:szCs w:val="14"/>
                <w:color w:val="0000FF"/>
                <w:w w:val="98"/>
              </w:rPr>
              <w:t>Business</w:t>
            </w:r>
          </w:p>
        </w:tc>
        <w:tc>
          <w:tcPr>
            <w:tcW w:w="980" w:type="dxa"/>
            <w:vAlign w:val="bottom"/>
            <w:gridSpan w:val="9"/>
          </w:tcPr>
          <w:p>
            <w:pPr>
              <w:spacing w:after="0"/>
              <w:rPr>
                <w:sz w:val="13"/>
                <w:szCs w:val="13"/>
                <w:color w:val="auto"/>
              </w:rPr>
            </w:pPr>
          </w:p>
        </w:tc>
        <w:tc>
          <w:tcPr>
            <w:tcW w:w="7500" w:type="dxa"/>
            <w:vAlign w:val="bottom"/>
            <w:gridSpan w:val="12"/>
          </w:tcPr>
          <w:p>
            <w:pPr>
              <w:spacing w:after="0"/>
              <w:rPr>
                <w:sz w:val="13"/>
                <w:szCs w:val="13"/>
                <w:color w:val="auto"/>
              </w:rPr>
            </w:pPr>
          </w:p>
        </w:tc>
        <w:tc>
          <w:tcPr>
            <w:tcW w:w="400" w:type="dxa"/>
            <w:vAlign w:val="bottom"/>
            <w:gridSpan w:val="2"/>
          </w:tcPr>
          <w:p>
            <w:pPr>
              <w:jc w:val="center"/>
              <w:ind w:left="250"/>
              <w:spacing w:after="0"/>
              <w:rPr>
                <w:sz w:val="20"/>
                <w:szCs w:val="20"/>
                <w:color w:val="auto"/>
              </w:rPr>
            </w:pPr>
            <w:r>
              <w:rPr>
                <w:rFonts w:ascii="Arial" w:cs="Arial" w:eastAsia="Arial" w:hAnsi="Arial"/>
                <w:sz w:val="14"/>
                <w:szCs w:val="14"/>
                <w:color w:val="3051F2"/>
              </w:rPr>
              <w:t>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1A.</w:t>
            </w:r>
          </w:p>
        </w:tc>
        <w:tc>
          <w:tcPr>
            <w:tcW w:w="9060" w:type="dxa"/>
            <w:vAlign w:val="bottom"/>
            <w:gridSpan w:val="22"/>
          </w:tcPr>
          <w:p>
            <w:pPr>
              <w:spacing w:after="0"/>
              <w:rPr>
                <w:sz w:val="20"/>
                <w:szCs w:val="20"/>
                <w:color w:val="auto"/>
              </w:rPr>
            </w:pPr>
            <w:r>
              <w:rPr>
                <w:rFonts w:ascii="Arial" w:cs="Arial" w:eastAsia="Arial" w:hAnsi="Arial"/>
                <w:sz w:val="14"/>
                <w:szCs w:val="14"/>
                <w:color w:val="0000FF"/>
              </w:rPr>
              <w:t>Risk Factors</w:t>
            </w: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1C.</w:t>
            </w:r>
          </w:p>
        </w:tc>
        <w:tc>
          <w:tcPr>
            <w:tcW w:w="9060" w:type="dxa"/>
            <w:vAlign w:val="bottom"/>
            <w:gridSpan w:val="22"/>
          </w:tcPr>
          <w:p>
            <w:pPr>
              <w:spacing w:after="0"/>
              <w:rPr>
                <w:sz w:val="20"/>
                <w:szCs w:val="20"/>
                <w:color w:val="auto"/>
              </w:rPr>
            </w:pPr>
            <w:r>
              <w:rPr>
                <w:rFonts w:ascii="Arial" w:cs="Arial" w:eastAsia="Arial" w:hAnsi="Arial"/>
                <w:sz w:val="14"/>
                <w:szCs w:val="14"/>
                <w:color w:val="0000FF"/>
              </w:rPr>
              <w:t>Cybersecurity</w:t>
            </w: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74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2.</w:t>
            </w:r>
          </w:p>
        </w:tc>
        <w:tc>
          <w:tcPr>
            <w:tcW w:w="860" w:type="dxa"/>
            <w:vAlign w:val="bottom"/>
            <w:gridSpan w:val="5"/>
          </w:tcPr>
          <w:p>
            <w:pPr>
              <w:spacing w:after="0"/>
              <w:rPr>
                <w:sz w:val="20"/>
                <w:szCs w:val="20"/>
                <w:color w:val="auto"/>
              </w:rPr>
            </w:pPr>
            <w:r>
              <w:rPr>
                <w:rFonts w:ascii="Arial" w:cs="Arial" w:eastAsia="Arial" w:hAnsi="Arial"/>
                <w:sz w:val="14"/>
                <w:szCs w:val="14"/>
                <w:color w:val="0000FF"/>
              </w:rPr>
              <w:t>Properties</w:t>
            </w:r>
          </w:p>
        </w:tc>
        <w:tc>
          <w:tcPr>
            <w:tcW w:w="8200" w:type="dxa"/>
            <w:vAlign w:val="bottom"/>
            <w:gridSpan w:val="17"/>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76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3.</w:t>
            </w:r>
          </w:p>
        </w:tc>
        <w:tc>
          <w:tcPr>
            <w:tcW w:w="1180" w:type="dxa"/>
            <w:vAlign w:val="bottom"/>
            <w:gridSpan w:val="7"/>
          </w:tcPr>
          <w:p>
            <w:pPr>
              <w:spacing w:after="0"/>
              <w:rPr>
                <w:sz w:val="20"/>
                <w:szCs w:val="20"/>
                <w:color w:val="auto"/>
              </w:rPr>
            </w:pPr>
            <w:r>
              <w:rPr>
                <w:rFonts w:ascii="Arial" w:cs="Arial" w:eastAsia="Arial" w:hAnsi="Arial"/>
                <w:sz w:val="14"/>
                <w:szCs w:val="14"/>
                <w:color w:val="0000FF"/>
              </w:rPr>
              <w:t>Legal Proceedings</w:t>
            </w:r>
          </w:p>
        </w:tc>
        <w:tc>
          <w:tcPr>
            <w:tcW w:w="7880" w:type="dxa"/>
            <w:vAlign w:val="bottom"/>
            <w:gridSpan w:val="15"/>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76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4.</w:t>
            </w:r>
          </w:p>
        </w:tc>
        <w:tc>
          <w:tcPr>
            <w:tcW w:w="9060" w:type="dxa"/>
            <w:vAlign w:val="bottom"/>
            <w:gridSpan w:val="22"/>
          </w:tcPr>
          <w:p>
            <w:pPr>
              <w:spacing w:after="0"/>
              <w:rPr>
                <w:sz w:val="20"/>
                <w:szCs w:val="20"/>
                <w:color w:val="auto"/>
              </w:rPr>
            </w:pPr>
            <w:r>
              <w:rPr>
                <w:rFonts w:ascii="Arial" w:cs="Arial" w:eastAsia="Arial" w:hAnsi="Arial"/>
                <w:sz w:val="14"/>
                <w:szCs w:val="14"/>
                <w:color w:val="0000FF"/>
              </w:rPr>
              <w:t>Mine Safety Disclosure</w:t>
            </w: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76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92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line="153" w:lineRule="exact"/>
              <w:rPr>
                <w:sz w:val="20"/>
                <w:szCs w:val="20"/>
                <w:color w:val="auto"/>
              </w:rPr>
            </w:pPr>
            <w:r>
              <w:rPr>
                <w:rFonts w:ascii="Arial" w:cs="Arial" w:eastAsia="Arial" w:hAnsi="Arial"/>
                <w:sz w:val="14"/>
                <w:szCs w:val="14"/>
                <w:color w:val="auto"/>
              </w:rPr>
              <w:t>Item 5.</w:t>
            </w:r>
          </w:p>
        </w:tc>
        <w:tc>
          <w:tcPr>
            <w:tcW w:w="6980" w:type="dxa"/>
            <w:vAlign w:val="bottom"/>
            <w:gridSpan w:val="21"/>
          </w:tcPr>
          <w:p>
            <w:pPr>
              <w:spacing w:after="0" w:line="153"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2080" w:type="dxa"/>
            <w:vAlign w:val="bottom"/>
          </w:tcPr>
          <w:p>
            <w:pPr>
              <w:spacing w:after="0"/>
              <w:rPr>
                <w:sz w:val="13"/>
                <w:szCs w:val="13"/>
                <w:color w:val="auto"/>
              </w:rPr>
            </w:pPr>
          </w:p>
        </w:tc>
        <w:tc>
          <w:tcPr>
            <w:tcW w:w="480" w:type="dxa"/>
            <w:vAlign w:val="bottom"/>
            <w:gridSpan w:val="3"/>
          </w:tcPr>
          <w:p>
            <w:pPr>
              <w:jc w:val="center"/>
              <w:ind w:left="170"/>
              <w:spacing w:after="0" w:line="153" w:lineRule="exact"/>
              <w:rPr>
                <w:sz w:val="20"/>
                <w:szCs w:val="20"/>
                <w:color w:val="auto"/>
              </w:rPr>
            </w:pPr>
            <w:r>
              <w:rPr>
                <w:rFonts w:ascii="Arial" w:cs="Arial" w:eastAsia="Arial" w:hAnsi="Arial"/>
                <w:sz w:val="14"/>
                <w:szCs w:val="14"/>
                <w:color w:val="3051F2"/>
              </w:rPr>
              <w:t>77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6.</w:t>
            </w:r>
          </w:p>
        </w:tc>
        <w:tc>
          <w:tcPr>
            <w:tcW w:w="6980" w:type="dxa"/>
            <w:vAlign w:val="bottom"/>
            <w:gridSpan w:val="21"/>
          </w:tcPr>
          <w:p>
            <w:pPr>
              <w:spacing w:after="0"/>
              <w:rPr>
                <w:sz w:val="20"/>
                <w:szCs w:val="20"/>
                <w:color w:val="auto"/>
              </w:rPr>
            </w:pPr>
            <w:r>
              <w:rPr>
                <w:rFonts w:ascii="Arial" w:cs="Arial" w:eastAsia="Arial" w:hAnsi="Arial"/>
                <w:sz w:val="14"/>
                <w:szCs w:val="14"/>
                <w:color w:val="0000FF"/>
              </w:rPr>
              <w:t>Reserved</w:t>
            </w:r>
          </w:p>
        </w:tc>
        <w:tc>
          <w:tcPr>
            <w:tcW w:w="2080" w:type="dxa"/>
            <w:vAlign w:val="bottom"/>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79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7.</w:t>
            </w:r>
          </w:p>
        </w:tc>
        <w:tc>
          <w:tcPr>
            <w:tcW w:w="9060" w:type="dxa"/>
            <w:vAlign w:val="bottom"/>
            <w:gridSpan w:val="22"/>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80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7A.</w:t>
            </w:r>
          </w:p>
        </w:tc>
        <w:tc>
          <w:tcPr>
            <w:tcW w:w="5560" w:type="dxa"/>
            <w:vAlign w:val="bottom"/>
            <w:gridSpan w:val="1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3500" w:type="dxa"/>
            <w:vAlign w:val="bottom"/>
            <w:gridSpan w:val="4"/>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102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8.</w:t>
            </w:r>
          </w:p>
        </w:tc>
        <w:tc>
          <w:tcPr>
            <w:tcW w:w="3700" w:type="dxa"/>
            <w:vAlign w:val="bottom"/>
            <w:gridSpan w:val="15"/>
          </w:tcPr>
          <w:p>
            <w:pPr>
              <w:spacing w:after="0"/>
              <w:rPr>
                <w:sz w:val="20"/>
                <w:szCs w:val="20"/>
                <w:color w:val="auto"/>
              </w:rPr>
            </w:pPr>
            <w:r>
              <w:rPr>
                <w:rFonts w:ascii="Arial" w:cs="Arial" w:eastAsia="Arial" w:hAnsi="Arial"/>
                <w:sz w:val="14"/>
                <w:szCs w:val="14"/>
                <w:color w:val="0000FF"/>
              </w:rPr>
              <w:t>Financial Statements and Supplementary Data</w:t>
            </w:r>
          </w:p>
        </w:tc>
        <w:tc>
          <w:tcPr>
            <w:tcW w:w="5360" w:type="dxa"/>
            <w:vAlign w:val="bottom"/>
            <w:gridSpan w:val="7"/>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103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9.</w:t>
            </w:r>
          </w:p>
        </w:tc>
        <w:tc>
          <w:tcPr>
            <w:tcW w:w="5640" w:type="dxa"/>
            <w:vAlign w:val="bottom"/>
            <w:gridSpan w:val="19"/>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3420" w:type="dxa"/>
            <w:vAlign w:val="bottom"/>
            <w:gridSpan w:val="3"/>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9A.</w:t>
            </w:r>
          </w:p>
        </w:tc>
        <w:tc>
          <w:tcPr>
            <w:tcW w:w="564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3420" w:type="dxa"/>
            <w:vAlign w:val="bottom"/>
            <w:gridSpan w:val="3"/>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9B.</w:t>
            </w:r>
          </w:p>
        </w:tc>
        <w:tc>
          <w:tcPr>
            <w:tcW w:w="1560" w:type="dxa"/>
            <w:vAlign w:val="bottom"/>
            <w:gridSpan w:val="10"/>
          </w:tcPr>
          <w:p>
            <w:pPr>
              <w:spacing w:after="0"/>
              <w:rPr>
                <w:sz w:val="20"/>
                <w:szCs w:val="20"/>
                <w:color w:val="auto"/>
              </w:rPr>
            </w:pPr>
            <w:r>
              <w:rPr>
                <w:rFonts w:ascii="Arial" w:cs="Arial" w:eastAsia="Arial" w:hAnsi="Arial"/>
                <w:sz w:val="14"/>
                <w:szCs w:val="14"/>
                <w:color w:val="0000FF"/>
              </w:rPr>
              <w:t>Other Information</w:t>
            </w:r>
          </w:p>
        </w:tc>
        <w:tc>
          <w:tcPr>
            <w:tcW w:w="7500" w:type="dxa"/>
            <w:vAlign w:val="bottom"/>
            <w:gridSpan w:val="12"/>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9C.</w:t>
            </w:r>
          </w:p>
        </w:tc>
        <w:tc>
          <w:tcPr>
            <w:tcW w:w="9060" w:type="dxa"/>
            <w:vAlign w:val="bottom"/>
            <w:gridSpan w:val="22"/>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92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line="153" w:lineRule="exact"/>
              <w:rPr>
                <w:sz w:val="20"/>
                <w:szCs w:val="20"/>
                <w:color w:val="auto"/>
              </w:rPr>
            </w:pPr>
            <w:r>
              <w:rPr>
                <w:rFonts w:ascii="Arial" w:cs="Arial" w:eastAsia="Arial" w:hAnsi="Arial"/>
                <w:sz w:val="14"/>
                <w:szCs w:val="14"/>
                <w:color w:val="auto"/>
              </w:rPr>
              <w:t>Item 10.</w:t>
            </w:r>
          </w:p>
        </w:tc>
        <w:tc>
          <w:tcPr>
            <w:tcW w:w="3540" w:type="dxa"/>
            <w:vAlign w:val="bottom"/>
            <w:gridSpan w:val="14"/>
          </w:tcPr>
          <w:p>
            <w:pPr>
              <w:spacing w:after="0" w:line="153" w:lineRule="exact"/>
              <w:rPr>
                <w:sz w:val="20"/>
                <w:szCs w:val="20"/>
                <w:color w:val="auto"/>
              </w:rPr>
            </w:pPr>
            <w:r>
              <w:rPr>
                <w:rFonts w:ascii="Arial" w:cs="Arial" w:eastAsia="Arial" w:hAnsi="Arial"/>
                <w:sz w:val="14"/>
                <w:szCs w:val="14"/>
                <w:color w:val="0000FF"/>
              </w:rPr>
              <w:t>Directors, Executive Officers and Corporate Governance</w:t>
            </w:r>
          </w:p>
        </w:tc>
        <w:tc>
          <w:tcPr>
            <w:tcW w:w="5520" w:type="dxa"/>
            <w:vAlign w:val="bottom"/>
            <w:gridSpan w:val="8"/>
          </w:tcPr>
          <w:p>
            <w:pPr>
              <w:spacing w:after="0"/>
              <w:rPr>
                <w:sz w:val="13"/>
                <w:szCs w:val="13"/>
                <w:color w:val="auto"/>
              </w:rPr>
            </w:pPr>
          </w:p>
        </w:tc>
        <w:tc>
          <w:tcPr>
            <w:tcW w:w="480" w:type="dxa"/>
            <w:vAlign w:val="bottom"/>
            <w:gridSpan w:val="3"/>
          </w:tcPr>
          <w:p>
            <w:pPr>
              <w:jc w:val="center"/>
              <w:ind w:left="170"/>
              <w:spacing w:after="0" w:line="153" w:lineRule="exact"/>
              <w:rPr>
                <w:sz w:val="20"/>
                <w:szCs w:val="20"/>
                <w:color w:val="auto"/>
              </w:rPr>
            </w:pPr>
            <w:r>
              <w:rPr>
                <w:rFonts w:ascii="Arial" w:cs="Arial" w:eastAsia="Arial" w:hAnsi="Arial"/>
                <w:sz w:val="14"/>
                <w:szCs w:val="14"/>
                <w:color w:val="3051F2"/>
              </w:rPr>
              <w:t>156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11.</w:t>
            </w:r>
          </w:p>
        </w:tc>
        <w:tc>
          <w:tcPr>
            <w:tcW w:w="3540" w:type="dxa"/>
            <w:vAlign w:val="bottom"/>
            <w:gridSpan w:val="14"/>
          </w:tcPr>
          <w:p>
            <w:pPr>
              <w:spacing w:after="0"/>
              <w:rPr>
                <w:sz w:val="20"/>
                <w:szCs w:val="20"/>
                <w:color w:val="auto"/>
              </w:rPr>
            </w:pPr>
            <w:r>
              <w:rPr>
                <w:rFonts w:ascii="Arial" w:cs="Arial" w:eastAsia="Arial" w:hAnsi="Arial"/>
                <w:sz w:val="14"/>
                <w:szCs w:val="14"/>
                <w:color w:val="0000FF"/>
              </w:rPr>
              <w:t>Executive Compensation</w:t>
            </w:r>
          </w:p>
        </w:tc>
        <w:tc>
          <w:tcPr>
            <w:tcW w:w="5520" w:type="dxa"/>
            <w:vAlign w:val="bottom"/>
            <w:gridSpan w:val="8"/>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12.</w:t>
            </w:r>
          </w:p>
        </w:tc>
        <w:tc>
          <w:tcPr>
            <w:tcW w:w="6300" w:type="dxa"/>
            <w:vAlign w:val="bottom"/>
            <w:gridSpan w:val="20"/>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2760" w:type="dxa"/>
            <w:vAlign w:val="bottom"/>
            <w:gridSpan w:val="2"/>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13.</w:t>
            </w:r>
          </w:p>
        </w:tc>
        <w:tc>
          <w:tcPr>
            <w:tcW w:w="4780" w:type="dxa"/>
            <w:vAlign w:val="bottom"/>
            <w:gridSpan w:val="17"/>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520" w:type="dxa"/>
            <w:vAlign w:val="bottom"/>
            <w:gridSpan w:val="3"/>
          </w:tcPr>
          <w:p>
            <w:pPr>
              <w:spacing w:after="0"/>
              <w:rPr>
                <w:sz w:val="13"/>
                <w:szCs w:val="13"/>
                <w:color w:val="auto"/>
              </w:rPr>
            </w:pPr>
          </w:p>
        </w:tc>
        <w:tc>
          <w:tcPr>
            <w:tcW w:w="2760" w:type="dxa"/>
            <w:vAlign w:val="bottom"/>
            <w:gridSpan w:val="2"/>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14.</w:t>
            </w:r>
          </w:p>
        </w:tc>
        <w:tc>
          <w:tcPr>
            <w:tcW w:w="4780" w:type="dxa"/>
            <w:vAlign w:val="bottom"/>
            <w:gridSpan w:val="17"/>
          </w:tcPr>
          <w:p>
            <w:pPr>
              <w:spacing w:after="0"/>
              <w:rPr>
                <w:sz w:val="20"/>
                <w:szCs w:val="20"/>
                <w:color w:val="auto"/>
              </w:rPr>
            </w:pPr>
            <w:r>
              <w:rPr>
                <w:rFonts w:ascii="Arial" w:cs="Arial" w:eastAsia="Arial" w:hAnsi="Arial"/>
                <w:sz w:val="14"/>
                <w:szCs w:val="14"/>
                <w:color w:val="0000FF"/>
              </w:rPr>
              <w:t>Principal Accountant Fees and Services</w:t>
            </w:r>
          </w:p>
        </w:tc>
        <w:tc>
          <w:tcPr>
            <w:tcW w:w="4280" w:type="dxa"/>
            <w:vAlign w:val="bottom"/>
            <w:gridSpan w:val="5"/>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92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line="153" w:lineRule="exact"/>
              <w:rPr>
                <w:sz w:val="20"/>
                <w:szCs w:val="20"/>
                <w:color w:val="auto"/>
              </w:rPr>
            </w:pPr>
            <w:r>
              <w:rPr>
                <w:rFonts w:ascii="Arial" w:cs="Arial" w:eastAsia="Arial" w:hAnsi="Arial"/>
                <w:sz w:val="14"/>
                <w:szCs w:val="14"/>
                <w:color w:val="auto"/>
              </w:rPr>
              <w:t>Item 15.</w:t>
            </w:r>
          </w:p>
        </w:tc>
        <w:tc>
          <w:tcPr>
            <w:tcW w:w="9060" w:type="dxa"/>
            <w:vAlign w:val="bottom"/>
            <w:gridSpan w:val="22"/>
          </w:tcPr>
          <w:p>
            <w:pPr>
              <w:spacing w:after="0" w:line="153" w:lineRule="exact"/>
              <w:rPr>
                <w:sz w:val="20"/>
                <w:szCs w:val="20"/>
                <w:color w:val="auto"/>
              </w:rPr>
            </w:pPr>
            <w:r>
              <w:rPr>
                <w:rFonts w:ascii="Arial" w:cs="Arial" w:eastAsia="Arial" w:hAnsi="Arial"/>
                <w:sz w:val="14"/>
                <w:szCs w:val="14"/>
                <w:color w:val="0000FF"/>
              </w:rPr>
              <w:t>Exhibits, Financial Statement Schedules</w:t>
            </w:r>
          </w:p>
        </w:tc>
        <w:tc>
          <w:tcPr>
            <w:tcW w:w="480" w:type="dxa"/>
            <w:vAlign w:val="bottom"/>
            <w:gridSpan w:val="3"/>
          </w:tcPr>
          <w:p>
            <w:pPr>
              <w:jc w:val="center"/>
              <w:ind w:left="170"/>
              <w:spacing w:after="0" w:line="153" w:lineRule="exact"/>
              <w:rPr>
                <w:sz w:val="20"/>
                <w:szCs w:val="20"/>
                <w:color w:val="auto"/>
              </w:rPr>
            </w:pPr>
            <w:r>
              <w:rPr>
                <w:rFonts w:ascii="Arial" w:cs="Arial" w:eastAsia="Arial" w:hAnsi="Arial"/>
                <w:sz w:val="14"/>
                <w:szCs w:val="14"/>
                <w:color w:val="3051F2"/>
              </w:rPr>
              <w:t>157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4"/>
                <w:szCs w:val="14"/>
                <w:color w:val="auto"/>
              </w:rPr>
              <w:t>Item 16.</w:t>
            </w:r>
          </w:p>
        </w:tc>
        <w:tc>
          <w:tcPr>
            <w:tcW w:w="1320" w:type="dxa"/>
            <w:vAlign w:val="bottom"/>
            <w:gridSpan w:val="8"/>
          </w:tcPr>
          <w:p>
            <w:pPr>
              <w:spacing w:after="0"/>
              <w:rPr>
                <w:sz w:val="20"/>
                <w:szCs w:val="20"/>
                <w:color w:val="auto"/>
              </w:rPr>
            </w:pPr>
            <w:r>
              <w:rPr>
                <w:rFonts w:ascii="Arial" w:cs="Arial" w:eastAsia="Arial" w:hAnsi="Arial"/>
                <w:sz w:val="14"/>
                <w:szCs w:val="14"/>
                <w:color w:val="0000FF"/>
              </w:rPr>
              <w:t>Form 10-K Summary</w:t>
            </w:r>
          </w:p>
        </w:tc>
        <w:tc>
          <w:tcPr>
            <w:tcW w:w="1200" w:type="dxa"/>
            <w:vAlign w:val="bottom"/>
            <w:gridSpan w:val="3"/>
          </w:tcPr>
          <w:p>
            <w:pPr>
              <w:spacing w:after="0"/>
              <w:rPr>
                <w:sz w:val="13"/>
                <w:szCs w:val="13"/>
                <w:color w:val="auto"/>
              </w:rPr>
            </w:pPr>
          </w:p>
        </w:tc>
        <w:tc>
          <w:tcPr>
            <w:tcW w:w="6540" w:type="dxa"/>
            <w:vAlign w:val="bottom"/>
            <w:gridSpan w:val="11"/>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159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0000FF"/>
                <w:w w:val="98"/>
              </w:rPr>
              <w:t>Signatures</w:t>
            </w:r>
          </w:p>
        </w:tc>
        <w:tc>
          <w:tcPr>
            <w:tcW w:w="640" w:type="dxa"/>
            <w:vAlign w:val="bottom"/>
            <w:gridSpan w:val="5"/>
          </w:tcPr>
          <w:p>
            <w:pPr>
              <w:spacing w:after="0"/>
              <w:rPr>
                <w:sz w:val="13"/>
                <w:szCs w:val="13"/>
                <w:color w:val="auto"/>
              </w:rPr>
            </w:pPr>
          </w:p>
        </w:tc>
        <w:tc>
          <w:tcPr>
            <w:tcW w:w="7740" w:type="dxa"/>
            <w:vAlign w:val="bottom"/>
            <w:gridSpan w:val="14"/>
          </w:tcPr>
          <w:p>
            <w:pPr>
              <w:spacing w:after="0"/>
              <w:rPr>
                <w:sz w:val="13"/>
                <w:szCs w:val="13"/>
                <w:color w:val="auto"/>
              </w:rPr>
            </w:pPr>
          </w:p>
        </w:tc>
        <w:tc>
          <w:tcPr>
            <w:tcW w:w="480" w:type="dxa"/>
            <w:vAlign w:val="bottom"/>
            <w:gridSpan w:val="3"/>
          </w:tcPr>
          <w:p>
            <w:pPr>
              <w:jc w:val="center"/>
              <w:ind w:left="170"/>
              <w:spacing w:after="0"/>
              <w:rPr>
                <w:sz w:val="20"/>
                <w:szCs w:val="20"/>
                <w:color w:val="auto"/>
              </w:rPr>
            </w:pPr>
            <w:r>
              <w:rPr>
                <w:rFonts w:ascii="Arial" w:cs="Arial" w:eastAsia="Arial" w:hAnsi="Arial"/>
                <w:sz w:val="14"/>
                <w:szCs w:val="14"/>
                <w:color w:val="3051F2"/>
              </w:rPr>
              <w:t>160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130175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320" w:top="1356" w:right="89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These forward-looking statements include, but are not limited to, statements concerning the following:</w:t>
      </w:r>
    </w:p>
    <w:p>
      <w:pPr>
        <w:spacing w:after="0" w:line="136" w:lineRule="exact"/>
        <w:rPr>
          <w:sz w:val="20"/>
          <w:szCs w:val="20"/>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gross booking volume, payment volume, revenue, cost of revenue, gross profit or gross margin, cash flow, operating expenses, including changes in operating expenses, and our ability to achieve and maintain future profitability;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overall demand for business travel and global travel trends;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our customers’ travel and expense budgets and IT spending budgets;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acceptance of our platform and our ability to increase adoption of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beliefs and objectives for future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new customers and retain and grow sales within our existing customers;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drive adoption and expansion of our additional offerings, including Payments, Expense Management, Meetings and Events, VIP, and Bleisure;</w:t>
      </w:r>
    </w:p>
    <w:p>
      <w:pPr>
        <w:spacing w:after="0" w:line="157" w:lineRule="exact"/>
        <w:rPr>
          <w:rFonts w:ascii="Arial" w:cs="Arial" w:eastAsia="Arial" w:hAnsi="Arial"/>
          <w:sz w:val="14"/>
          <w:szCs w:val="14"/>
          <w:color w:val="auto"/>
        </w:rPr>
      </w:pPr>
    </w:p>
    <w:p>
      <w:pPr>
        <w:ind w:left="520" w:right="60" w:hanging="260"/>
        <w:spacing w:after="0" w:line="232" w:lineRule="auto"/>
        <w:tabs>
          <w:tab w:leader="none" w:pos="516" w:val="left"/>
        </w:tabs>
        <w:numPr>
          <w:ilvl w:val="0"/>
          <w:numId w:val="3"/>
        </w:numPr>
        <w:rPr>
          <w:rFonts w:ascii="Times New Roman" w:cs="Times New Roman" w:eastAsia="Times New Roman" w:hAnsi="Times New Roman"/>
          <w:sz w:val="17"/>
          <w:szCs w:val="17"/>
          <w:color w:val="auto"/>
        </w:rPr>
      </w:pPr>
      <w:r>
        <w:rPr>
          <w:rFonts w:ascii="Arial" w:cs="Arial" w:eastAsia="Arial" w:hAnsi="Arial"/>
          <w:sz w:val="14"/>
          <w:szCs w:val="14"/>
          <w:color w:val="auto"/>
        </w:rPr>
        <w:t>our ability to continue developing, improving, and implementing AI and machine learning (“ML”) into our platform and offerings, including Navan Cognition and Navan Edge, our proprietary AI framework for our platform, and related AI features and functionalities;</w:t>
      </w:r>
    </w:p>
    <w:p>
      <w:pPr>
        <w:spacing w:after="0" w:line="69"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timely and effectively scale, enhance, and adapt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and introduce new offerings and products and bring them to market in a timely manner;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operate and expand internationally;</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concerning relationships with third parties, in particular with suppliers and payment partners, and our ability to maintain commission rates and access to travel inventory;</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future acquisitions or investments in complementary companies, products, services, or technologies and our ability to successfully integrate them into our business and operations;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high-quality customer support, including through automation and AI-enabled tools, while controlling customer support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and industry trends, projected growth, or trend analysis, including as it relates to AI;</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operate and grow our business in light of macroeconomic uncertainty;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statements regarding our future operations, financial condition, and prospects and business strategies.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Annual Report on Form 10-K.</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You should not rely on forward-looking statements as predictions of future events. We have based the forward-looking statements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statements such as “we believe” and similar statements reflect our beliefs and opinions on the relevant subject.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Unless the context otherwise requires, all references in this Annual Report on Form 10-K to “we,” “us,” “our,” “our company,” and “Navan” refer to Navan, Inc. and its consolidated subsidiaries.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Navan, the Navan logo, and other registered or common law trade names, trademarks, or service marks of Navan appearing in this Annual Report on Form 10-K are the property of Navan, Inc. This Annual Report on Form 10-K contains additional trade names, trademarks, logos, and service marks of ours and of other companies. We do not intend our use or display of other companies’ trade names, trademarks, logos, or service marks to imply a relationship with these other companies, or endorsement or sponsorship of us by these other companies. Other trademarks appearing in this Annual Report on Form 10-K are the property of their respective holders. Solely for convenience, our trade names, trademarks, logos, and service marks referred to in this Annual Report on Form 10-K may appear without the ® and ™ symbols, but those references are not intended to indicate, in any way, that we will not assert, to the fullest extent under applicable law, our rights, or the right of the applicable licensor, to these trademarks, trade names, logos,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RISK FACTORS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business is subject to numerous risks and uncertainties, including those set forth below. This summary does not contain all of the information that may be important to you, and you should read this summary together with the more detailed discussion of risks and uncertainties set forth in the section titled “Risk Factors” included elsewhere in this Annual Report on Form 10-K. Below is a summary of some of these risks, any one of which could materially adversely affect our business, financial condition, results of operations, financial condition, and prospects.</w:t>
      </w:r>
    </w:p>
    <w:p>
      <w:pPr>
        <w:spacing w:after="0" w:line="95" w:lineRule="exact"/>
        <w:rPr>
          <w:sz w:val="20"/>
          <w:szCs w:val="20"/>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77"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77" w:lineRule="exact"/>
        <w:rPr>
          <w:rFonts w:ascii="Arial" w:cs="Arial" w:eastAsia="Arial" w:hAnsi="Arial"/>
          <w:sz w:val="14"/>
          <w:szCs w:val="14"/>
          <w:color w:val="auto"/>
        </w:rPr>
      </w:pPr>
    </w:p>
    <w:p>
      <w:pPr>
        <w:ind w:left="260" w:hanging="255"/>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Shifts in business travel trends or any decline in business travel demand would negatively impact our business, growth, results of operations, and financial condition.</w:t>
      </w:r>
    </w:p>
    <w:p>
      <w:pPr>
        <w:spacing w:after="0" w:line="136" w:lineRule="exact"/>
        <w:rPr>
          <w:rFonts w:ascii="Arial" w:cs="Arial" w:eastAsia="Arial" w:hAnsi="Arial"/>
          <w:sz w:val="14"/>
          <w:szCs w:val="14"/>
          <w:color w:val="auto"/>
        </w:rPr>
      </w:pPr>
    </w:p>
    <w:p>
      <w:pPr>
        <w:ind w:left="260" w:hanging="255"/>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be unable to attract new customers and grow our customer base, which would negatively impact our revenue growth and results of operations.</w:t>
      </w:r>
    </w:p>
    <w:p>
      <w:pPr>
        <w:spacing w:after="0" w:line="136"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77"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fail to offer high-quality customer support, including through our AI-powered virtual agents, or if our support is more expensive than anticipated, our business, margins, and reputation could suffer.</w:t>
      </w:r>
    </w:p>
    <w:p>
      <w:pPr>
        <w:spacing w:after="0" w:line="77" w:lineRule="exact"/>
        <w:rPr>
          <w:rFonts w:ascii="Arial" w:cs="Arial" w:eastAsia="Arial" w:hAnsi="Arial"/>
          <w:sz w:val="14"/>
          <w:szCs w:val="14"/>
          <w:color w:val="auto"/>
        </w:rPr>
      </w:pPr>
    </w:p>
    <w:p>
      <w:pPr>
        <w:ind w:left="260" w:hanging="255"/>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Travel Management offerings depend on our relationships with suppliers.</w:t>
      </w:r>
    </w:p>
    <w:p>
      <w:pPr>
        <w:spacing w:after="0" w:line="136" w:lineRule="exact"/>
        <w:rPr>
          <w:rFonts w:ascii="Arial" w:cs="Arial" w:eastAsia="Arial" w:hAnsi="Arial"/>
          <w:sz w:val="14"/>
          <w:szCs w:val="14"/>
          <w:color w:val="auto"/>
        </w:rPr>
      </w:pPr>
    </w:p>
    <w:p>
      <w:pPr>
        <w:ind w:left="260" w:hanging="255"/>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a history of operating losses and may not achieve or sustain profitability in the future.</w:t>
      </w:r>
    </w:p>
    <w:p>
      <w:pPr>
        <w:spacing w:after="0" w:line="136" w:lineRule="exact"/>
        <w:rPr>
          <w:rFonts w:ascii="Arial" w:cs="Arial" w:eastAsia="Arial" w:hAnsi="Arial"/>
          <w:sz w:val="14"/>
          <w:szCs w:val="14"/>
          <w:color w:val="auto"/>
        </w:rPr>
      </w:pPr>
    </w:p>
    <w:p>
      <w:pPr>
        <w:jc w:val="both"/>
        <w:ind w:firstLine="5"/>
        <w:spacing w:after="0" w:line="271"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investing in our Class A common stock.</w:t>
      </w:r>
    </w:p>
    <w:p>
      <w:pPr>
        <w:spacing w:after="0" w:line="91" w:lineRule="exact"/>
        <w:rPr>
          <w:rFonts w:ascii="Arial" w:cs="Arial" w:eastAsia="Arial" w:hAnsi="Arial"/>
          <w:sz w:val="14"/>
          <w:szCs w:val="14"/>
          <w:color w:val="auto"/>
        </w:rPr>
      </w:pPr>
    </w:p>
    <w:p>
      <w:pPr>
        <w:ind w:left="260" w:hanging="255"/>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results of operations may fluctuate significantly, which could make our future results difficult to predict and could cause our results of operations to fall below expectations.</w:t>
      </w:r>
    </w:p>
    <w:p>
      <w:pPr>
        <w:spacing w:after="0" w:line="136"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77"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plan to continue expanding our international operations which could subject us to additional costs and risks, and our continued expansion internationally may not be successful.</w:t>
      </w:r>
    </w:p>
    <w:p>
      <w:pPr>
        <w:spacing w:after="0" w:line="77"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Failure to effectively develop and expand our sales and marketing capabilities could harm our ability to increase our customer base and achieve broader market acceptance of our platform.</w:t>
      </w:r>
    </w:p>
    <w:p>
      <w:pPr>
        <w:spacing w:after="0" w:line="77" w:lineRule="exact"/>
        <w:rPr>
          <w:rFonts w:ascii="Arial" w:cs="Arial" w:eastAsia="Arial" w:hAnsi="Arial"/>
          <w:sz w:val="14"/>
          <w:szCs w:val="14"/>
          <w:color w:val="auto"/>
        </w:rPr>
      </w:pPr>
    </w:p>
    <w:p>
      <w:pPr>
        <w:ind w:firstLine="5"/>
        <w:spacing w:after="0" w:line="290"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fail to adapt and respond effectively to rapidly changing technology, evolving industry standards, and changing customer needs or preferences, our platform may become less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
        <w:spacing w:after="0" w:line="290" w:lineRule="auto"/>
        <w:tabs>
          <w:tab w:leader="none" w:pos="251"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77" w:lineRule="exact"/>
        <w:rPr>
          <w:rFonts w:ascii="Arial" w:cs="Arial" w:eastAsia="Arial" w:hAnsi="Arial"/>
          <w:sz w:val="14"/>
          <w:szCs w:val="14"/>
          <w:color w:val="auto"/>
        </w:rPr>
      </w:pPr>
    </w:p>
    <w:p>
      <w:pPr>
        <w:ind w:firstLine="5"/>
        <w:spacing w:after="0" w:line="290" w:lineRule="auto"/>
        <w:tabs>
          <w:tab w:leader="none" w:pos="251"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in the past, and may in the future, identify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77" w:lineRule="exact"/>
        <w:rPr>
          <w:rFonts w:ascii="Arial" w:cs="Arial" w:eastAsia="Arial" w:hAnsi="Arial"/>
          <w:sz w:val="14"/>
          <w:szCs w:val="14"/>
          <w:color w:val="auto"/>
        </w:rPr>
      </w:pPr>
    </w:p>
    <w:p>
      <w:pPr>
        <w:ind w:left="260" w:hanging="255"/>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market price of our Class A common stock may be volatile and could decline significantly and rapidly.</w:t>
      </w:r>
    </w:p>
    <w:p>
      <w:pPr>
        <w:spacing w:after="0" w:line="136" w:lineRule="exact"/>
        <w:rPr>
          <w:rFonts w:ascii="Arial" w:cs="Arial" w:eastAsia="Arial" w:hAnsi="Arial"/>
          <w:sz w:val="14"/>
          <w:szCs w:val="14"/>
          <w:color w:val="auto"/>
        </w:rPr>
      </w:pPr>
    </w:p>
    <w:p>
      <w:pPr>
        <w:ind w:firstLine="5"/>
        <w:spacing w:after="0" w:line="290" w:lineRule="auto"/>
        <w:tabs>
          <w:tab w:leader="none" w:pos="25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INDUSTRY AND MARKET DATA</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Within this Annual Report on Form 10-K, we reference information, statistics, estimates, and forecasts regarding our industry, including the market size and growth of the markets in which we participate. We have obtained this information, and these statistics, estimates, and forecasts from publicly available information and various independent third-party sources, including independent industry publications and reports by market research firms, such as Euromonitor International Limited. Some data and other information contained in this report are also based on management’s estimates and calculations, which are derived from our review and interpretation of internal surveys and data and independent third-party sources. Data regarding the industries in which we compete and our market position and market share within these industries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sections titled “Risk Factors” and “Special Note Regarding Forward-Looking Statements” elsewhere in this Annual Report on Form 10-K. These and other factors could cause our future performance to differ materially from our assumptions and estimates. As a result, you should be aware that market, ranking and other similar industry data included in this report, and estimates and beliefs based on that data, may not be reliable. Accordingly, you are cautioned not to place undue reliance on such market and industry data or any other such estimates.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The sources of certain statistics, estimates, and forecasts contained in this Annual Report on Form 10-K are:</w:t>
      </w:r>
    </w:p>
    <w:p>
      <w:pPr>
        <w:spacing w:after="0" w:line="136"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Euromonitor International Limited, Global Business Travel Industry Assessment Report, June 2025, commissioned by us.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8" w:lineRule="exact"/>
        <w:rPr>
          <w:rFonts w:ascii="Arial" w:cs="Arial" w:eastAsia="Arial" w:hAnsi="Arial"/>
          <w:sz w:val="14"/>
          <w:szCs w:val="14"/>
          <w:color w:val="auto"/>
        </w:rPr>
      </w:pPr>
    </w:p>
    <w:p>
      <w:pPr>
        <w:ind w:left="5600"/>
        <w:spacing w:after="0"/>
        <w:rPr>
          <w:rFonts w:ascii="Arial" w:cs="Arial" w:eastAsia="Arial" w:hAnsi="Arial"/>
          <w:sz w:val="14"/>
          <w:szCs w:val="14"/>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Navan is a global AI-powered business travel and expense platform. We leverage technology to reimagine business travel and deliver personalized experiences for users, efficiency and control for customers, and direct market access for suppliers—all powered by our proprietary AI framework, Navan Cognition.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identified the challenges of legacy travel and expense management systems, and built Navan on the premise that to win, all players in the ecosystem - users, customers, and suppliers -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our cohesive offering, the Navan platform unlocks a smarter, more rewarding future for travel—one where everyone wins.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customer satisfaction score (“CSAT”) score of 96%, our virtual agent CSAT score of 81%, which is on par with human agent performance, and net promoter score (“NPS”) of 45, each for the year ended January 31, 2026. When frequent travelers have a positive, efficient experience and earn rewards, they are more likely to use Navan. Our platform provides customers with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cycle strengthens the flywheel, creating a robust and self-sustaining ecosystem.</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We built Navan Cognition, a new paradigm in AI-powered travel management. This proprietary framework enables us to create, train, deploy, and supervise specialized virtual agents that can handle many complex tasks previously requiring human intervention. We make every step of the pre-booking, in-travel, and post-trip process as easy and automated as possible.</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strategy is to land a customer with our Travel offering, provide exceptional service to our users and customers, broaden their engagement with Navan, and seek to manage all of their payments, expenses, VIP needs, meetings and events, and bleisure travel on our platform.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built Navan as a solution to provide travelers a seamless user experience in a historically highly fragmented industry. Our global AI-powered business travel and expense platform is purpose-built to deliver a personalized global travel booking experience for our users, combined with next-generation expense management and payments solutions that provide real-time visibility and control over travel and expense (“T&amp;E”) spend. Navan Cognition is our proprietary AI framework that powers intelligent automation and decision making across the user journey. This intelligence layer enhances virtually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40"/>
        <w:spacing w:after="0" w:line="442" w:lineRule="auto"/>
        <w:rPr>
          <w:sz w:val="20"/>
          <w:szCs w:val="20"/>
          <w:color w:val="auto"/>
        </w:rPr>
      </w:pPr>
      <w:r>
        <w:rPr>
          <w:rFonts w:ascii="Arial" w:cs="Arial" w:eastAsia="Arial" w:hAnsi="Arial"/>
          <w:sz w:val="14"/>
          <w:szCs w:val="14"/>
          <w:color w:val="auto"/>
        </w:rPr>
        <w:t xml:space="preserve">step of the travel process, from booking to reconciliation, helping us deliver a more seamless, policy-compliant, and cost-effective experience for customers of all sizes. </w:t>
      </w:r>
      <w:r>
        <w:rPr>
          <w:rFonts w:ascii="Arial" w:cs="Arial" w:eastAsia="Arial" w:hAnsi="Arial"/>
          <w:sz w:val="14"/>
          <w:szCs w:val="14"/>
          <w:b w:val="1"/>
          <w:bCs w:val="1"/>
          <w:i w:val="1"/>
          <w:iCs w:val="1"/>
          <w:color w:val="auto"/>
        </w:rPr>
        <w:t>Navan Cloud: The Infrastructure of Our Travel Experience</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built our proprietary technology and partner infrastructure from the ground up to provide global, real-time inventory that maximizes choice for our users. In contrast with legacy players, who have generally expanded through acquisitions of local travel agencies and have a highly fragmented view of inventory with limited access to smaller suppliers,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application programming interface (“API”) integrations, and partnerships to provide high levels of choice:</w:t>
      </w:r>
    </w:p>
    <w:p>
      <w:pPr>
        <w:spacing w:after="0" w:line="97" w:lineRule="exact"/>
        <w:rPr>
          <w:sz w:val="20"/>
          <w:szCs w:val="20"/>
          <w:color w:val="auto"/>
        </w:rPr>
      </w:pPr>
    </w:p>
    <w:p>
      <w:pPr>
        <w:jc w:val="both"/>
        <w:ind w:left="520" w:hanging="260"/>
        <w:spacing w:after="0" w:line="259"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Direct Supplier Relationships. </w:t>
      </w:r>
      <w:r>
        <w:rPr>
          <w:rFonts w:ascii="Arial" w:cs="Arial" w:eastAsia="Arial" w:hAnsi="Arial"/>
          <w:sz w:val="14"/>
          <w:szCs w:val="14"/>
          <w:color w:val="auto"/>
        </w:rPr>
        <w:t>We have curated direct partnerships with a vast network of airlines, hotels, and other suppliers, giving us better and sometimes exclusive</w:t>
      </w:r>
      <w:r>
        <w:rPr>
          <w:rFonts w:ascii="Arial" w:cs="Arial" w:eastAsia="Arial" w:hAnsi="Arial"/>
          <w:sz w:val="14"/>
          <w:szCs w:val="14"/>
          <w:i w:val="1"/>
          <w:iCs w:val="1"/>
          <w:color w:val="auto"/>
        </w:rPr>
        <w:t xml:space="preserve"> </w:t>
      </w:r>
      <w:r>
        <w:rPr>
          <w:rFonts w:ascii="Arial" w:cs="Arial" w:eastAsia="Arial" w:hAnsi="Arial"/>
          <w:sz w:val="14"/>
          <w:szCs w:val="14"/>
          <w:color w:val="auto"/>
        </w:rPr>
        <w:t>access to inventory and lower prices. These relationships also let us provide richer content such as seating, amenities, and fare classes, directly from suppliers, enabling a more customizable booking experience. A cornerstone of our supply sourcing strategy is to source content directly from suppliers, whether through International Air Transport Association’s New Distribution Capability (“NDC”), where Navan sits on governing bodies and helps define NDC standards, direct integrations to Passenger Service Systems, or other APIs provided by the supplier. This enables access to the newest releases and updates to the travel distribution ecosystem. It also positions us as a partner to these suppliers, helping shape new traveler benefits and automated fulfillment and servicing capabilities that benefit our efficiency and the travel experience for our users.</w:t>
      </w:r>
    </w:p>
    <w:p>
      <w:pPr>
        <w:spacing w:after="0" w:line="27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API Integrations. </w:t>
      </w:r>
      <w:r>
        <w:rPr>
          <w:rFonts w:ascii="Arial" w:cs="Arial" w:eastAsia="Arial" w:hAnsi="Arial"/>
          <w:sz w:val="14"/>
          <w:szCs w:val="14"/>
          <w:color w:val="auto"/>
        </w:rPr>
        <w:t>Our advanced API technology enables real-time integration with suppliers, ensuring users get accurate, real-time pricing, content, and availability. Where</w:t>
      </w:r>
      <w:r>
        <w:rPr>
          <w:rFonts w:ascii="Arial" w:cs="Arial" w:eastAsia="Arial" w:hAnsi="Arial"/>
          <w:sz w:val="14"/>
          <w:szCs w:val="14"/>
          <w:i w:val="1"/>
          <w:iCs w:val="1"/>
          <w:color w:val="auto"/>
        </w:rPr>
        <w:t xml:space="preserve"> </w:t>
      </w:r>
      <w:r>
        <w:rPr>
          <w:rFonts w:ascii="Arial" w:cs="Arial" w:eastAsia="Arial" w:hAnsi="Arial"/>
          <w:sz w:val="14"/>
          <w:szCs w:val="14"/>
          <w:color w:val="auto"/>
        </w:rPr>
        <w:t>APIs are not available, we leverage our strong direct supplier relationships to source data across a broad set of channels.</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Partnerships. </w:t>
      </w:r>
      <w:r>
        <w:rPr>
          <w:rFonts w:ascii="Arial" w:cs="Arial" w:eastAsia="Arial" w:hAnsi="Arial"/>
          <w:sz w:val="14"/>
          <w:szCs w:val="14"/>
          <w:color w:val="auto"/>
        </w:rPr>
        <w:t>We have developed deep partnerships with banks, financial technology companies, and payment providers to broaden capabilities across our payments</w:t>
      </w:r>
      <w:r>
        <w:rPr>
          <w:rFonts w:ascii="Arial" w:cs="Arial" w:eastAsia="Arial" w:hAnsi="Arial"/>
          <w:sz w:val="14"/>
          <w:szCs w:val="14"/>
          <w:i w:val="1"/>
          <w:iCs w:val="1"/>
          <w:color w:val="auto"/>
        </w:rPr>
        <w:t xml:space="preserve"> </w:t>
      </w:r>
      <w:r>
        <w:rPr>
          <w:rFonts w:ascii="Arial" w:cs="Arial" w:eastAsia="Arial" w:hAnsi="Arial"/>
          <w:sz w:val="14"/>
          <w:szCs w:val="14"/>
          <w:color w:val="auto"/>
        </w:rPr>
        <w:t>platform. These include integrations with payment networks like Visa and Mastercard as well as card issuers like Brex, Rho, Citi, Barclays, and Citizens Bank, extending our reach into the financial ecosystem.</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direct connections and integrations give us access to sell over 600 airlines via global distribution systems (“GDSs”), NDC, and low-cost carriers (“LCCs”), and over two million individual lodging properties through our platform globally. We have connections to the major credit card networks and over 200 banks and partnerships with multiple issuing partners in Navan Cloud. Our proprietary infrastructure provides customers with dynamic access to pricing and travel availability, ensuring that users always have the most accurate information at their fingertips. Navan Cloud also simplifies expense management during and after a trip so that customers can understand and accurately capture T&amp;E spend in real time.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Navan Cognition: Our New Paradigm in AI-Powered Travel Management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From our early founding days, we have invested in AI technologies at the core of our platform. We started with advanced machine learning (“ML”) capabilities that were revolutionary in this industry in our early days, but we did not stop there. As the technology progressed, so did we. We evolved from deploying customized ML algorithms that deliver best-in-class optimization and personalization to building a sophisticated agentic AI platform that is programmable, modular, and dynamic.</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developed a new paradigm in AI-powered travel management through Navan Cognition, our third-generation innovative proprietary AI framework that combines the precision and predictive power of ML with the reasoning capabilities of large language models (“LLMs”). Navan Cognition is designed to leverage third-party LLMs in combination with our own proprietary, internally developed software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operate a modular framework of virtual agents using a graph-based workflow. On our platform, Navan Cognition enables us to create, train, deploy, and supervise our specialized virtual agents that can handle many complex tasks previously requiring human intervention, including our virtual agent chatbot, Ava. Within the Navan Cognition framework, our networks of virtual agents identify, categorize, and execute user queries (including distinct tasks) as users interface with our platform. The graph-based workflow identifies and processes the intent behind users’ requests to our virtual agents (such as travel type and preferences) to prompt the LLM models to execute the most relevant workflow in response to requests, while refining user intent to strive for accurate responses and minimal hallucinations. Virtual agent outputs undergo compliance, fact-checking, and logic validation, and supervisory workflows are in place with the goal of preventing hallucinations and unauthorized or unintended actions from reaching users.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D1C1D"/>
        </w:rPr>
        <w:t xml:space="preserve">This framework allows our virtual agents to masterfully manage an increasing </w:t>
      </w:r>
      <w:r>
        <w:rPr>
          <w:rFonts w:ascii="Arial" w:cs="Arial" w:eastAsia="Arial" w:hAnsi="Arial"/>
          <w:sz w:val="14"/>
          <w:szCs w:val="14"/>
          <w:color w:val="000000"/>
        </w:rPr>
        <w:t>number</w:t>
      </w:r>
      <w:r>
        <w:rPr>
          <w:rFonts w:ascii="Arial" w:cs="Arial" w:eastAsia="Arial" w:hAnsi="Arial"/>
          <w:sz w:val="14"/>
          <w:szCs w:val="14"/>
          <w:color w:val="1D1C1D"/>
        </w:rPr>
        <w:t xml:space="preserve"> of tasks and requests on our platform,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For more information regarding the risks related to the use of AI in our business, see the </w:t>
      </w:r>
      <w:r>
        <w:rPr>
          <w:rFonts w:ascii="Arial" w:cs="Arial" w:eastAsia="Arial" w:hAnsi="Arial"/>
          <w:sz w:val="14"/>
          <w:szCs w:val="14"/>
          <w:color w:val="000000"/>
        </w:rPr>
        <w:t>section</w:t>
      </w:r>
      <w:r>
        <w:rPr>
          <w:rFonts w:ascii="Arial" w:cs="Arial" w:eastAsia="Arial" w:hAnsi="Arial"/>
          <w:sz w:val="14"/>
          <w:szCs w:val="14"/>
          <w:color w:val="1D1C1D"/>
        </w:rPr>
        <w:t xml:space="preserve"> titled “</w:t>
      </w:r>
      <w:r>
        <w:rPr>
          <w:rFonts w:ascii="Arial" w:cs="Arial" w:eastAsia="Arial" w:hAnsi="Arial"/>
          <w:sz w:val="14"/>
          <w:szCs w:val="14"/>
          <w:color w:val="000000"/>
        </w:rPr>
        <w:t>Risk</w:t>
      </w:r>
      <w:r>
        <w:rPr>
          <w:rFonts w:ascii="Arial" w:cs="Arial" w:eastAsia="Arial" w:hAnsi="Arial"/>
          <w:sz w:val="14"/>
          <w:szCs w:val="14"/>
          <w:color w:val="1D1C1D"/>
        </w:rPr>
        <w:t xml:space="preserve"> </w:t>
      </w:r>
      <w:r>
        <w:rPr>
          <w:rFonts w:ascii="Arial" w:cs="Arial" w:eastAsia="Arial" w:hAnsi="Arial"/>
          <w:sz w:val="14"/>
          <w:szCs w:val="14"/>
          <w:color w:val="000000"/>
        </w:rPr>
        <w:t>Factors—Risks Related to Privacy, Cybersecurity, and Intellectual Property—</w:t>
      </w:r>
      <w:r>
        <w:rPr>
          <w:rFonts w:ascii="Arial" w:cs="Arial" w:eastAsia="Arial" w:hAnsi="Arial"/>
          <w:sz w:val="14"/>
          <w:szCs w:val="14"/>
          <w:color w:val="1D1C1D"/>
        </w:rPr>
        <w:t>Our use of artificial intelligence, including Gen AI and</w:t>
      </w:r>
      <w:r>
        <w:rPr>
          <w:rFonts w:ascii="Arial" w:cs="Arial" w:eastAsia="Arial" w:hAnsi="Arial"/>
          <w:sz w:val="14"/>
          <w:szCs w:val="14"/>
          <w:color w:val="000000"/>
        </w:rPr>
        <w:t xml:space="preserve"> ML, </w:t>
      </w:r>
      <w:r>
        <w:rPr>
          <w:rFonts w:ascii="Arial" w:cs="Arial" w:eastAsia="Arial" w:hAnsi="Arial"/>
          <w:sz w:val="14"/>
          <w:szCs w:val="14"/>
          <w:color w:val="1D1C1D"/>
        </w:rPr>
        <w:t>gives rise to legal, business, and operational</w:t>
      </w:r>
      <w:r>
        <w:rPr>
          <w:rFonts w:ascii="Arial" w:cs="Arial" w:eastAsia="Arial" w:hAnsi="Arial"/>
          <w:sz w:val="14"/>
          <w:szCs w:val="14"/>
          <w:color w:val="000000"/>
        </w:rPr>
        <w:t xml:space="preserve"> </w:t>
      </w:r>
      <w:r>
        <w:rPr>
          <w:rFonts w:ascii="Arial" w:cs="Arial" w:eastAsia="Arial" w:hAnsi="Arial"/>
          <w:sz w:val="14"/>
          <w:szCs w:val="14"/>
          <w:color w:val="1D1C1D"/>
        </w:rPr>
        <w:t>risks, which may result in diminished performance, regulatory scrutiny, social impacts, reputational harm, and liability arising from the use of this technology</w:t>
      </w:r>
      <w:r>
        <w:rPr>
          <w:rFonts w:ascii="Arial" w:cs="Arial" w:eastAsia="Arial" w:hAnsi="Arial"/>
          <w:sz w:val="14"/>
          <w:szCs w:val="14"/>
          <w:color w:val="000000"/>
        </w:rPr>
        <w:t>.</w:t>
      </w:r>
      <w:r>
        <w:rPr>
          <w:rFonts w:ascii="Arial" w:cs="Arial" w:eastAsia="Arial" w:hAnsi="Arial"/>
          <w:sz w:val="14"/>
          <w:szCs w:val="14"/>
          <w:color w:val="1D1C1D"/>
        </w:rPr>
        <w: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D1C1D"/>
        </w:rPr>
        <w:t xml:space="preserve">Navan Cognition has also been core to helping us </w:t>
      </w:r>
      <w:r>
        <w:rPr>
          <w:rFonts w:ascii="Arial" w:cs="Arial" w:eastAsia="Arial" w:hAnsi="Arial"/>
          <w:sz w:val="14"/>
          <w:szCs w:val="14"/>
          <w:color w:val="000000"/>
        </w:rPr>
        <w:t>improve the service offering of our platform without adding cost to our customers and enabling us to further optimize margins.</w:t>
      </w:r>
      <w:r>
        <w:rPr>
          <w:rFonts w:ascii="Arial" w:cs="Arial" w:eastAsia="Arial" w:hAnsi="Arial"/>
          <w:sz w:val="14"/>
          <w:szCs w:val="14"/>
          <w:color w:val="1D1C1D"/>
        </w:rPr>
        <w:t xml:space="preserve"> Our AI-powered virtual agent chatbot, Ava, handle</w:t>
      </w:r>
      <w:r>
        <w:rPr>
          <w:rFonts w:ascii="Arial" w:cs="Arial" w:eastAsia="Arial" w:hAnsi="Arial"/>
          <w:sz w:val="14"/>
          <w:szCs w:val="14"/>
          <w:color w:val="000000"/>
        </w:rPr>
        <w:t>d approximately 52%</w:t>
      </w:r>
      <w:r>
        <w:rPr>
          <w:rFonts w:ascii="Arial" w:cs="Arial" w:eastAsia="Arial" w:hAnsi="Arial"/>
          <w:sz w:val="14"/>
          <w:szCs w:val="14"/>
          <w:color w:val="1D1C1D"/>
        </w:rPr>
        <w:t xml:space="preserve"> of </w:t>
      </w:r>
      <w:r>
        <w:rPr>
          <w:rFonts w:ascii="Arial" w:cs="Arial" w:eastAsia="Arial" w:hAnsi="Arial"/>
          <w:sz w:val="14"/>
          <w:szCs w:val="14"/>
          <w:color w:val="000000"/>
        </w:rPr>
        <w:t>user</w:t>
      </w:r>
      <w:r>
        <w:rPr>
          <w:rFonts w:ascii="Arial" w:cs="Arial" w:eastAsia="Arial" w:hAnsi="Arial"/>
          <w:sz w:val="14"/>
          <w:szCs w:val="14"/>
          <w:color w:val="1D1C1D"/>
        </w:rPr>
        <w:t xml:space="preserve"> interactions while maintaining an impressive average CSAT score of </w:t>
      </w:r>
      <w:r>
        <w:rPr>
          <w:rFonts w:ascii="Arial" w:cs="Arial" w:eastAsia="Arial" w:hAnsi="Arial"/>
          <w:sz w:val="14"/>
          <w:szCs w:val="14"/>
          <w:color w:val="000000"/>
        </w:rPr>
        <w:t>96% for our overall platform</w:t>
      </w:r>
      <w:r>
        <w:rPr>
          <w:rFonts w:ascii="Arial" w:cs="Arial" w:eastAsia="Arial" w:hAnsi="Arial"/>
          <w:sz w:val="14"/>
          <w:szCs w:val="14"/>
          <w:color w:val="1D1C1D"/>
        </w:rPr>
        <w:t xml:space="preserve"> </w:t>
      </w:r>
      <w:r>
        <w:rPr>
          <w:rFonts w:ascii="Arial" w:cs="Arial" w:eastAsia="Arial" w:hAnsi="Arial"/>
          <w:sz w:val="14"/>
          <w:szCs w:val="14"/>
          <w:color w:val="000000"/>
        </w:rPr>
        <w:t>and 81% for Ava, which is on par with human agent performance, each for the year ended January 31, 2026</w:t>
      </w:r>
      <w:r>
        <w:rPr>
          <w:rFonts w:ascii="Arial" w:cs="Arial" w:eastAsia="Arial" w:hAnsi="Arial"/>
          <w:sz w:val="14"/>
          <w:szCs w:val="14"/>
          <w:color w:val="1D1C1D"/>
        </w:rPr>
        <w:t>. Most importantly, we have achieved this while striving to adhere to our</w:t>
      </w:r>
      <w:r>
        <w:rPr>
          <w:rFonts w:ascii="Arial" w:cs="Arial" w:eastAsia="Arial" w:hAnsi="Arial"/>
          <w:sz w:val="14"/>
          <w:szCs w:val="14"/>
          <w:color w:val="000000"/>
        </w:rPr>
        <w:t xml:space="preserve"> </w:t>
      </w:r>
      <w:r>
        <w:rPr>
          <w:rFonts w:ascii="Arial" w:cs="Arial" w:eastAsia="Arial" w:hAnsi="Arial"/>
          <w:sz w:val="14"/>
          <w:szCs w:val="14"/>
          <w:color w:val="1D1C1D"/>
        </w:rPr>
        <w:t xml:space="preserve">zero-critical-hallucination standard, which aims to ensure every interaction is accurate, reliable, and trustworthy. </w:t>
      </w:r>
      <w:r>
        <w:rPr>
          <w:rFonts w:ascii="Arial" w:cs="Arial" w:eastAsia="Arial" w:hAnsi="Arial"/>
          <w:sz w:val="14"/>
          <w:szCs w:val="14"/>
          <w:color w:val="000000"/>
        </w:rPr>
        <w:t>Examples of “critical” hallucinations include charging the incorrect</w:t>
      </w:r>
      <w:r>
        <w:rPr>
          <w:rFonts w:ascii="Arial" w:cs="Arial" w:eastAsia="Arial" w:hAnsi="Arial"/>
          <w:sz w:val="14"/>
          <w:szCs w:val="14"/>
          <w:color w:val="1D1C1D"/>
        </w:rPr>
        <w:t xml:space="preserve"> </w:t>
      </w:r>
      <w:r>
        <w:rPr>
          <w:rFonts w:ascii="Arial" w:cs="Arial" w:eastAsia="Arial" w:hAnsi="Arial"/>
          <w:sz w:val="14"/>
          <w:szCs w:val="14"/>
          <w:color w:val="000000"/>
        </w:rPr>
        <w:t xml:space="preserve">amount for a ticket, or incorrectly providing a free upgrade. </w:t>
      </w:r>
      <w:r>
        <w:rPr>
          <w:rFonts w:ascii="Arial" w:cs="Arial" w:eastAsia="Arial" w:hAnsi="Arial"/>
          <w:sz w:val="14"/>
          <w:szCs w:val="14"/>
          <w:color w:val="1D1C1D"/>
        </w:rPr>
        <w:t>Looking ahead, we intend to continue expanding both our ML and</w:t>
      </w:r>
      <w:r>
        <w:rPr>
          <w:rFonts w:ascii="Arial" w:cs="Arial" w:eastAsia="Arial" w:hAnsi="Arial"/>
          <w:sz w:val="14"/>
          <w:szCs w:val="14"/>
          <w:color w:val="000000"/>
        </w:rPr>
        <w:t xml:space="preserve"> Navan </w:t>
      </w:r>
      <w:r>
        <w:rPr>
          <w:rFonts w:ascii="Arial" w:cs="Arial" w:eastAsia="Arial" w:hAnsi="Arial"/>
          <w:sz w:val="14"/>
          <w:szCs w:val="14"/>
          <w:color w:val="1D1C1D"/>
        </w:rPr>
        <w:t>Cognition capabilities. This dual approach,</w:t>
      </w:r>
      <w:r>
        <w:rPr>
          <w:rFonts w:ascii="Arial" w:cs="Arial" w:eastAsia="Arial" w:hAnsi="Arial"/>
          <w:sz w:val="14"/>
          <w:szCs w:val="14"/>
          <w:color w:val="000000"/>
        </w:rPr>
        <w:t xml:space="preserve"> </w:t>
      </w:r>
      <w:r>
        <w:rPr>
          <w:rFonts w:ascii="Arial" w:cs="Arial" w:eastAsia="Arial" w:hAnsi="Arial"/>
          <w:sz w:val="14"/>
          <w:szCs w:val="14"/>
          <w:color w:val="1D1C1D"/>
        </w:rPr>
        <w:t xml:space="preserve">combining the precision of ML with the autonomous reasoning of </w:t>
      </w:r>
      <w:r>
        <w:rPr>
          <w:rFonts w:ascii="Arial" w:cs="Arial" w:eastAsia="Arial" w:hAnsi="Arial"/>
          <w:sz w:val="14"/>
          <w:szCs w:val="14"/>
          <w:color w:val="000000"/>
        </w:rPr>
        <w:t>Navan</w:t>
      </w:r>
      <w:r>
        <w:rPr>
          <w:rFonts w:ascii="Arial" w:cs="Arial" w:eastAsia="Arial" w:hAnsi="Arial"/>
          <w:sz w:val="14"/>
          <w:szCs w:val="14"/>
          <w:color w:val="1D1C1D"/>
        </w:rPr>
        <w:t xml:space="preserve"> Cognition, positions us to deliver increasingly sophisticated, personalized, and efficient travel solutions. We aim to leverage these advancements to further streamline workflows, enhance self-service options, and create even more value for our users through intelligent automation, ultimately helping us drive the future of travel.</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D1C1D"/>
        </w:rPr>
        <w:t xml:space="preserve">Navan Cognition is not just a feature, it represents the foundation of our platform. Designed with built-in safeguards and real-time oversight, it </w:t>
      </w:r>
      <w:r>
        <w:rPr>
          <w:rFonts w:ascii="Arial" w:cs="Arial" w:eastAsia="Arial" w:hAnsi="Arial"/>
          <w:sz w:val="14"/>
          <w:szCs w:val="14"/>
          <w:color w:val="000000"/>
        </w:rPr>
        <w:t>works to</w:t>
      </w:r>
      <w:r>
        <w:rPr>
          <w:rFonts w:ascii="Arial" w:cs="Arial" w:eastAsia="Arial" w:hAnsi="Arial"/>
          <w:sz w:val="14"/>
          <w:szCs w:val="14"/>
          <w:color w:val="1D1C1D"/>
        </w:rPr>
        <w:t xml:space="preserve"> ensure that AI-driven actions are reliable, secure, and aligned with enterprise needs. As we continue to expand the capabilities of </w:t>
      </w:r>
      <w:r>
        <w:rPr>
          <w:rFonts w:ascii="Arial" w:cs="Arial" w:eastAsia="Arial" w:hAnsi="Arial"/>
          <w:sz w:val="14"/>
          <w:szCs w:val="14"/>
          <w:color w:val="000000"/>
        </w:rPr>
        <w:t>Navan</w:t>
      </w:r>
      <w:r>
        <w:rPr>
          <w:rFonts w:ascii="Arial" w:cs="Arial" w:eastAsia="Arial" w:hAnsi="Arial"/>
          <w:sz w:val="14"/>
          <w:szCs w:val="14"/>
          <w:color w:val="1D1C1D"/>
        </w:rPr>
        <w:t xml:space="preserve"> Cognition, it </w:t>
      </w:r>
      <w:r>
        <w:rPr>
          <w:rFonts w:ascii="Arial" w:cs="Arial" w:eastAsia="Arial" w:hAnsi="Arial"/>
          <w:sz w:val="14"/>
          <w:szCs w:val="14"/>
          <w:color w:val="000000"/>
        </w:rPr>
        <w:t>serves as</w:t>
      </w:r>
      <w:r>
        <w:rPr>
          <w:rFonts w:ascii="Arial" w:cs="Arial" w:eastAsia="Arial" w:hAnsi="Arial"/>
          <w:sz w:val="14"/>
          <w:szCs w:val="14"/>
          <w:color w:val="1D1C1D"/>
        </w:rPr>
        <w:t xml:space="preserve"> the infrastructure layer upon which a growing ecosystem of intelligent travel applications will be built, powering a safer, smarter, and more adaptive future for business travel.</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Navan Native Apps and Enterprise Integrations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developed simple and intuitive front-end experiences for travel, payments, and expense management. Users can interface with our platform through web and mobile applications, omnichannel support, and white label travel solutions. Customers can also access our platform through administrative apps or through enterprise integrations for expense management and bank or credit cards. Our apps are discrete gateways into our platform that share a common data infrastructure and remain universally synchronized. The user experience drives product use and reinforces the flywheel of our business.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source of truth across systems and significantly reduce the operational burden of manual data entry and cross-platform coordination.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Offerings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integrated, end-to-end platform is designed to support the full spectrum of travel, payments, and expense management needs through a unified product suite that simplifies every step of the travel, payments, and expense management journey. Our principal offerings today include:</w:t>
      </w:r>
    </w:p>
    <w:p>
      <w:pPr>
        <w:spacing w:after="0" w:line="78" w:lineRule="exact"/>
        <w:rPr>
          <w:sz w:val="20"/>
          <w:szCs w:val="20"/>
          <w:color w:val="auto"/>
        </w:rPr>
      </w:pPr>
    </w:p>
    <w:p>
      <w:pPr>
        <w:jc w:val="both"/>
        <w:ind w:left="520" w:hanging="260"/>
        <w:spacing w:after="0" w:line="265"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Travel: </w:t>
      </w:r>
      <w:r>
        <w:rPr>
          <w:rFonts w:ascii="Arial" w:cs="Arial" w:eastAsia="Arial" w:hAnsi="Arial"/>
          <w:sz w:val="14"/>
          <w:szCs w:val="14"/>
          <w:color w:val="auto"/>
        </w:rPr>
        <w:t>Our flagship online booking application that enables travelers to book flights, hotels, trains, and rental cars through a single interface that aligns with company policy</w:t>
      </w:r>
      <w:r>
        <w:rPr>
          <w:rFonts w:ascii="Arial" w:cs="Arial" w:eastAsia="Arial" w:hAnsi="Arial"/>
          <w:sz w:val="14"/>
          <w:szCs w:val="14"/>
          <w:i w:val="1"/>
          <w:iCs w:val="1"/>
          <w:color w:val="auto"/>
        </w:rPr>
        <w:t xml:space="preserve"> </w:t>
      </w:r>
      <w:r>
        <w:rPr>
          <w:rFonts w:ascii="Arial" w:cs="Arial" w:eastAsia="Arial" w:hAnsi="Arial"/>
          <w:sz w:val="14"/>
          <w:szCs w:val="14"/>
          <w:color w:val="auto"/>
        </w:rPr>
        <w:t>and preferences, driving adoption across both managed and unmanaged travel. The system provides real-time monitoring of trips, including flight status updates, gate changes, and potential delays, ensuring travelers stay informed. Furthermore, the tool allows for easy editing of existing reservations, such as modifying dates, times, or accommodations, offering flexibility and control over travel plans.</w:t>
      </w:r>
    </w:p>
    <w:p>
      <w:pPr>
        <w:spacing w:after="0" w:line="95"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Corporate Payments: </w:t>
      </w:r>
      <w:r>
        <w:rPr>
          <w:rFonts w:ascii="Arial" w:cs="Arial" w:eastAsia="Arial" w:hAnsi="Arial"/>
          <w:sz w:val="14"/>
          <w:szCs w:val="14"/>
          <w:color w:val="auto"/>
        </w:rPr>
        <w:t>Our virtual and physical Navan corporate card offering that simplifies payments for business needs. Transactions are instantly approved, flagged, or</w:t>
      </w:r>
      <w:r>
        <w:rPr>
          <w:rFonts w:ascii="Arial" w:cs="Arial" w:eastAsia="Arial" w:hAnsi="Arial"/>
          <w:sz w:val="14"/>
          <w:szCs w:val="14"/>
          <w:i w:val="1"/>
          <w:iCs w:val="1"/>
          <w:color w:val="auto"/>
        </w:rPr>
        <w:t xml:space="preserve"> </w:t>
      </w:r>
      <w:r>
        <w:rPr>
          <w:rFonts w:ascii="Arial" w:cs="Arial" w:eastAsia="Arial" w:hAnsi="Arial"/>
          <w:sz w:val="14"/>
          <w:szCs w:val="14"/>
          <w:color w:val="auto"/>
        </w:rPr>
        <w:t>declined at the point of purchase. Automated submission and reconciliation of authorized spending aims to eliminate the need for manual expense reports. Spending policies are integrated into the cards and enforced during transactions, aiming to automate the entire expense management cycle from the initial purchase to reconciliation. These virtual and physical cards can be used for various business expenses, including travel, routine expenditures, spot purchases, and software subscriptions, freeing customers from paperwork and saving finance teams significant time during month-end reconciliation.</w:t>
      </w:r>
    </w:p>
    <w:p>
      <w:pPr>
        <w:spacing w:after="0" w:line="97" w:lineRule="exact"/>
        <w:rPr>
          <w:rFonts w:ascii="Arial" w:cs="Arial" w:eastAsia="Arial" w:hAnsi="Arial"/>
          <w:sz w:val="14"/>
          <w:szCs w:val="14"/>
          <w:color w:val="auto"/>
        </w:rPr>
      </w:pPr>
    </w:p>
    <w:p>
      <w:pPr>
        <w:jc w:val="both"/>
        <w:ind w:left="520" w:hanging="260"/>
        <w:spacing w:after="0" w:line="257"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Expense Management: </w:t>
      </w:r>
      <w:r>
        <w:rPr>
          <w:rFonts w:ascii="Arial" w:cs="Arial" w:eastAsia="Arial" w:hAnsi="Arial"/>
          <w:sz w:val="14"/>
          <w:szCs w:val="14"/>
          <w:color w:val="auto"/>
        </w:rPr>
        <w:t>Our expense application that automates and centralizes the control, management, and tracking of business spending. It monitors travel and</w:t>
      </w:r>
      <w:r>
        <w:rPr>
          <w:rFonts w:ascii="Arial" w:cs="Arial" w:eastAsia="Arial" w:hAnsi="Arial"/>
          <w:sz w:val="14"/>
          <w:szCs w:val="14"/>
          <w:i w:val="1"/>
          <w:iCs w:val="1"/>
          <w:color w:val="auto"/>
        </w:rPr>
        <w:t xml:space="preserve"> </w:t>
      </w:r>
      <w:r>
        <w:rPr>
          <w:rFonts w:ascii="Arial" w:cs="Arial" w:eastAsia="Arial" w:hAnsi="Arial"/>
          <w:sz w:val="14"/>
          <w:szCs w:val="14"/>
          <w:color w:val="auto"/>
        </w:rPr>
        <w:t>entertainment expenses and automates reporting and analytics. The software eliminates the inefficiencies and frustrations associated with traditional expense reports, offering interactive dashboards for real-time transaction visibility and improved decision-making. Our Expense Management offering can either be coupled with our Corporate Payments offering or can be used on a standalone basis with Navan Connect, our open API framework, through which companies can integrate their own third-party corporate card programs into the Expense Management application. Third-party cards connected via Navan Connect can still benefit from nearly all of the capabilities offered within our Corporate Payments offering (such as instant application of customer expense policy and automated expense submission and reconciliation), without requiring our customers to transition their legacy corporate card relationship to the Navan Corporate Payments platform. This flexibility allows our Expense Management application to serve as the central point for viewing, managing, analyzing, and controlling all expense related data across the customer and their travelers, irrespective of the corporate card being used.</w:t>
      </w:r>
    </w:p>
    <w:p>
      <w:pPr>
        <w:spacing w:after="0" w:line="103"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Meetings and Events: </w:t>
      </w:r>
      <w:r>
        <w:rPr>
          <w:rFonts w:ascii="Arial" w:cs="Arial" w:eastAsia="Arial" w:hAnsi="Arial"/>
          <w:sz w:val="14"/>
          <w:szCs w:val="14"/>
          <w:color w:val="auto"/>
        </w:rPr>
        <w:t>Facilitates group event planning for employee gatherings through our platform, without our customers having to deal with the complexity of having a</w:t>
      </w:r>
      <w:r>
        <w:rPr>
          <w:rFonts w:ascii="Arial" w:cs="Arial" w:eastAsia="Arial" w:hAnsi="Arial"/>
          <w:sz w:val="14"/>
          <w:szCs w:val="14"/>
          <w:i w:val="1"/>
          <w:iCs w:val="1"/>
          <w:color w:val="auto"/>
        </w:rPr>
        <w:t xml:space="preserve"> </w:t>
      </w:r>
      <w:r>
        <w:rPr>
          <w:rFonts w:ascii="Arial" w:cs="Arial" w:eastAsia="Arial" w:hAnsi="Arial"/>
          <w:sz w:val="14"/>
          <w:szCs w:val="14"/>
          <w:color w:val="auto"/>
        </w:rPr>
        <w:t>costly in-house Meetings and Events team. This offering provides both a self-service option, as well as the ability to leverage our team of dedicated and experienced agents to lead researching, planning, and booking travel for meetings and events. This dedicated team aids the customer in cost reduction through network partners and expert consulting, and manages logistics for event experiences. Once the logistics and details of the event have been finalized, the user is able to share a singular invite with colleagues, through which they can book their own travel, lodging, and related travel needs, based on the pre-arranged details of the event (including recommended hotels and a full schedule of events). Our Meeting and Events application ultimately allows our customers to track the status of both bookings and spend across planned group events and meetings via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centralized platform, allowing our customers to better ensure policy adherence, control costs, and manage general logistics between the planning and event execution phases.</w:t>
      </w:r>
    </w:p>
    <w:p>
      <w:pPr>
        <w:spacing w:after="0" w:line="78" w:lineRule="exact"/>
        <w:rPr>
          <w:sz w:val="20"/>
          <w:szCs w:val="20"/>
          <w:color w:val="auto"/>
        </w:rPr>
      </w:pPr>
    </w:p>
    <w:p>
      <w:pPr>
        <w:jc w:val="both"/>
        <w:ind w:left="520" w:hanging="260"/>
        <w:spacing w:after="0" w:line="265"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VIP: </w:t>
      </w:r>
      <w:r>
        <w:rPr>
          <w:rFonts w:ascii="Arial" w:cs="Arial" w:eastAsia="Arial" w:hAnsi="Arial"/>
          <w:sz w:val="14"/>
          <w:szCs w:val="14"/>
          <w:color w:val="auto"/>
        </w:rPr>
        <w:t>Offers premium, white-glove support for executive travelers and high-priority itineraries through Navan Pro, our premium offering merging the simplicity of our Travel</w:t>
      </w:r>
      <w:r>
        <w:rPr>
          <w:rFonts w:ascii="Arial" w:cs="Arial" w:eastAsia="Arial" w:hAnsi="Arial"/>
          <w:sz w:val="14"/>
          <w:szCs w:val="14"/>
          <w:i w:val="1"/>
          <w:iCs w:val="1"/>
          <w:color w:val="auto"/>
        </w:rPr>
        <w:t xml:space="preserve"> </w:t>
      </w:r>
      <w:r>
        <w:rPr>
          <w:rFonts w:ascii="Arial" w:cs="Arial" w:eastAsia="Arial" w:hAnsi="Arial"/>
          <w:sz w:val="14"/>
          <w:szCs w:val="14"/>
          <w:color w:val="auto"/>
        </w:rPr>
        <w:t>offering application with the expertise of our dedicated agents. This offering delivers exceptional high-end travel support for businesses of all sizes globally, catering to specific needs such as private jets and police escorts for executives or sustained VIP service for entire businesses. Integrated with Navan technology, travelers benefit from our platform while receiving the expected level of VIP service.</w:t>
      </w:r>
    </w:p>
    <w:p>
      <w:pPr>
        <w:spacing w:after="0" w:line="95"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Bleisure: </w:t>
      </w:r>
      <w:r>
        <w:rPr>
          <w:rFonts w:ascii="Arial" w:cs="Arial" w:eastAsia="Arial" w:hAnsi="Arial"/>
          <w:sz w:val="14"/>
          <w:szCs w:val="14"/>
          <w:color w:val="auto"/>
        </w:rPr>
        <w:t>Our personal travel offering, Bleisure, enables leisure and bleisure bookings through the Navan platform as an added benefit for users from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Bleisure is the category of the business travel market defined by personal travel booked around or in connection with business travel. Users are incentivized to book personal travel through our platform with access to the same inventory, discounts, and on-platform travel support offered to their employer. Additional features such as the ability to use reward points earned on our platform from helping their employer save money via their booked travel to offset costs for their personal travel booking, as well as the ability to seamlessly extend an existing business trip to accommodate personal travel, further encourages the broader use of our platform. These benefits allow us to increase platform engagement, allowing us to add to our understanding of each user’s travel preferences and further refine recommendations to personalize the travel and booking experience offered under our business travel application.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Growth Strategies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elements of our growth strategy include the following:</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 xml:space="preserve">Add new customers to the Navan platform: </w:t>
      </w:r>
      <w:r>
        <w:rPr>
          <w:rFonts w:ascii="Arial" w:cs="Arial" w:eastAsia="Arial" w:hAnsi="Arial"/>
          <w:sz w:val="14"/>
          <w:szCs w:val="14"/>
          <w:color w:val="auto"/>
        </w:rPr>
        <w:t>We believe the market for our solutions is large. Our platform is intuitive to use and scalable for customers of all sizes across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According to Euromonitor survey results, spend across this unmanaged category represents approximately 65% of global business travel spend overall. These companies use spreadsheets or other non-purpose-built solutions and are reluctant to adopt traditional travel management solutions given the high costs and relative complexity associated with legacy systems. We believe our end-to-end, intuitive, and easy to implement solution is well positioned to meet the needs of both the managed and unmanaged categories, and we have successfully grown our customers across these categories via two primary strategies:</w:t>
      </w:r>
    </w:p>
    <w:p>
      <w:pPr>
        <w:spacing w:after="0" w:line="274" w:lineRule="exact"/>
        <w:rPr>
          <w:sz w:val="20"/>
          <w:szCs w:val="20"/>
          <w:color w:val="auto"/>
        </w:rPr>
      </w:pPr>
    </w:p>
    <w:p>
      <w:pPr>
        <w:jc w:val="both"/>
        <w:ind w:left="520" w:hanging="260"/>
        <w:spacing w:after="0" w:line="258"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Sales-Led Growth: </w:t>
      </w:r>
      <w:r>
        <w:rPr>
          <w:rFonts w:ascii="Arial" w:cs="Arial" w:eastAsia="Arial" w:hAnsi="Arial"/>
          <w:sz w:val="14"/>
          <w:szCs w:val="14"/>
          <w:color w:val="auto"/>
        </w:rPr>
        <w:t>We have historically focused our customer acquisition strategy on mid-size and larger corporate customers with a direct sales-led motion via our</w:t>
      </w:r>
      <w:r>
        <w:rPr>
          <w:rFonts w:ascii="Arial" w:cs="Arial" w:eastAsia="Arial" w:hAnsi="Arial"/>
          <w:sz w:val="14"/>
          <w:szCs w:val="14"/>
          <w:i w:val="1"/>
          <w:iCs w:val="1"/>
          <w:color w:val="auto"/>
        </w:rPr>
        <w:t xml:space="preserve"> </w:t>
      </w:r>
      <w:r>
        <w:rPr>
          <w:rFonts w:ascii="Arial" w:cs="Arial" w:eastAsia="Arial" w:hAnsi="Arial"/>
          <w:sz w:val="14"/>
          <w:szCs w:val="14"/>
          <w:color w:val="auto"/>
        </w:rPr>
        <w:t>dedicated sales team. These customers often have a travel and expense vendor or solution today, but are oftentimes frustrated by the fragmented nature of the solutions and complexity of their existing travel and expense management workflow. Alternatively, some of these customers may not have existing travel and expense solutions. In engaging with these customers, we focus our efforts on highlighting the potential for quantifiable cost savings and operating efficiencies, as well as increased travel and expense policy adherence via the adoption of our platform, while also highlighting the potential for improved productivity and engagement. We have seen significant success in deploying this approach thanks to the deeply integrated, end-to-end nature of our offering and its ease of implementation. Our platform allows customers to consolidate multiple fragmented systems into a single solution that streamlines travel and expense management across their business. Additionally, our platform integrates seamlessly with existing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infrastructure, including SSO, HRIS, and ERP systems, enabling faster customer onboarding and minimizing business disruption and cost during rollout for our customers. As we have continued to engage with and embed ourselves with our customers, we have seen increasing engagement at the CFO (chief financial officer) and CXO (chief experience officer) levels across customers as a part of their ongoing business transformation efforts, with these executives often viewing our solution as a key lever for driving continued efficiency and cost savings, as well as supporting their growth through seamlessly helping them manage the travel and expense demands of their users.</w:t>
      </w:r>
    </w:p>
    <w:p>
      <w:pPr>
        <w:spacing w:after="0" w:line="95" w:lineRule="exact"/>
        <w:rPr>
          <w:sz w:val="20"/>
          <w:szCs w:val="20"/>
          <w:color w:val="auto"/>
        </w:rPr>
      </w:pPr>
    </w:p>
    <w:p>
      <w:pPr>
        <w:jc w:val="both"/>
        <w:ind w:left="520" w:hanging="260"/>
        <w:spacing w:after="0" w:line="25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Product-Led Growth: </w:t>
      </w:r>
      <w:r>
        <w:rPr>
          <w:rFonts w:ascii="Arial" w:cs="Arial" w:eastAsia="Arial" w:hAnsi="Arial"/>
          <w:sz w:val="14"/>
          <w:szCs w:val="14"/>
          <w:color w:val="auto"/>
        </w:rPr>
        <w:t>More recently, we have begun to deploy a product-led and sales-assisted motion to acquire and service customers, who have traditionally been</w:t>
      </w:r>
      <w:r>
        <w:rPr>
          <w:rFonts w:ascii="Arial" w:cs="Arial" w:eastAsia="Arial" w:hAnsi="Arial"/>
          <w:sz w:val="14"/>
          <w:szCs w:val="14"/>
          <w:i w:val="1"/>
          <w:iCs w:val="1"/>
          <w:color w:val="auto"/>
        </w:rPr>
        <w:t xml:space="preserve"> </w:t>
      </w:r>
      <w:r>
        <w:rPr>
          <w:rFonts w:ascii="Arial" w:cs="Arial" w:eastAsia="Arial" w:hAnsi="Arial"/>
          <w:sz w:val="14"/>
          <w:szCs w:val="14"/>
          <w:color w:val="auto"/>
        </w:rPr>
        <w:t>unmanaged, meaning they have no travel and expense vendor or solution. According to Euromonitor survey results, 65% of the overall business travel management revenue opportunity is unmanaged, which provides us with a significant greenfield opportunity. Many of these businesses are smaller companies that are generally not serviced by traditional T&amp;E providers. These customers often have limited bandwidth across their existing teams to integrate legacy solutions which they often find to be expensive, difficult to integrate, and cumbersome to use, leading many to question the value proposition of these legacy solutions, and to choose to manually deal with the challenges of travel spend via tools such as excel spreadsheets. These customers often find Navan through word-of-mouth, or through our growth marketing efforts and are attracted to the streamlined experience we provide to travelers and the tangible cost savings potential provided by our platform. Notably, we attract these customers due to our platform’s distinct technology and scale advantage, relative to many other providers (especially certain legacy providers). To onboard these customers, we provide streamlined self-service implementation tools, which provide flexibility for these customers to engage with and roll-out our offerings at their own pace. We also offer ongoing customer support as these customers both increase adoption of our platform and scale their own operations to support further engagement across all of our offerings. While still an emerging growth motion for us, we plan on continuing to invest in our capabilities to engage with and onboard these unmanaged customers given the scale of the overall market opportunity, particularly as our platform scales and recognition for our brand continues to grow.</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Drive higher penetration and adoption across our existing customers. </w:t>
      </w:r>
      <w:r>
        <w:rPr>
          <w:rFonts w:ascii="Arial" w:cs="Arial" w:eastAsia="Arial" w:hAnsi="Arial"/>
          <w:sz w:val="14"/>
          <w:szCs w:val="14"/>
          <w:color w:val="auto"/>
        </w:rPr>
        <w:t>We are focused on continuing to expand our wallet share across existing customer relationships by:</w:t>
      </w:r>
    </w:p>
    <w:p>
      <w:pPr>
        <w:spacing w:after="0" w:line="136" w:lineRule="exact"/>
        <w:rPr>
          <w:sz w:val="20"/>
          <w:szCs w:val="20"/>
          <w:color w:val="auto"/>
        </w:rPr>
      </w:pPr>
    </w:p>
    <w:p>
      <w:pPr>
        <w:jc w:val="both"/>
        <w:ind w:left="520" w:hanging="260"/>
        <w:spacing w:after="0" w:line="259"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Driving cross-sell: </w:t>
      </w:r>
      <w:r>
        <w:rPr>
          <w:rFonts w:ascii="Arial" w:cs="Arial" w:eastAsia="Arial" w:hAnsi="Arial"/>
          <w:sz w:val="14"/>
          <w:szCs w:val="14"/>
          <w:color w:val="auto"/>
        </w:rPr>
        <w:t>We typically land our customers with our Travel offering. As their engagement with our platform grows, our dedicated customer success teams focus on</w:t>
      </w:r>
      <w:r>
        <w:rPr>
          <w:rFonts w:ascii="Arial" w:cs="Arial" w:eastAsia="Arial" w:hAnsi="Arial"/>
          <w:sz w:val="14"/>
          <w:szCs w:val="14"/>
          <w:i w:val="1"/>
          <w:iCs w:val="1"/>
          <w:color w:val="auto"/>
        </w:rPr>
        <w:t xml:space="preserve"> </w:t>
      </w:r>
      <w:r>
        <w:rPr>
          <w:rFonts w:ascii="Arial" w:cs="Arial" w:eastAsia="Arial" w:hAnsi="Arial"/>
          <w:sz w:val="14"/>
          <w:szCs w:val="14"/>
          <w:color w:val="auto"/>
        </w:rPr>
        <w:t>helping educate customers on the full breadth of our offerings to help them maximize efficiency and value across their travel and expense management workflows. This often includes helping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The incremental cross-selling opportunities above and beyond our base Travel offering provide a substantial opportunity for growth, as the holistic use of our platform provides compelling incremental value to our customers over each individual offering.</w:t>
      </w:r>
    </w:p>
    <w:p>
      <w:pPr>
        <w:spacing w:after="0" w:line="99"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Increasing platform adoption: </w:t>
      </w:r>
      <w:r>
        <w:rPr>
          <w:rFonts w:ascii="Arial" w:cs="Arial" w:eastAsia="Arial" w:hAnsi="Arial"/>
          <w:sz w:val="14"/>
          <w:szCs w:val="14"/>
          <w:color w:val="auto"/>
        </w:rPr>
        <w:t>In addition to benefiting from continued underlying growth in business travel spend, we also see significant opportunity for growth alongside</w:t>
      </w:r>
      <w:r>
        <w:rPr>
          <w:rFonts w:ascii="Arial" w:cs="Arial" w:eastAsia="Arial" w:hAnsi="Arial"/>
          <w:sz w:val="14"/>
          <w:szCs w:val="14"/>
          <w:i w:val="1"/>
          <w:iCs w:val="1"/>
          <w:color w:val="auto"/>
        </w:rPr>
        <w:t xml:space="preserve"> </w:t>
      </w:r>
      <w:r>
        <w:rPr>
          <w:rFonts w:ascii="Arial" w:cs="Arial" w:eastAsia="Arial" w:hAnsi="Arial"/>
          <w:sz w:val="14"/>
          <w:szCs w:val="14"/>
          <w:color w:val="auto"/>
        </w:rPr>
        <w:t>our customers as they scale their underlying business and increase their investment in T&amp;E to support their growth. For example, as our customers grow their employee base and resulting travel and expense budgets, we typically see increased utilization across our platform, which in turn allows us to facilitate more travel bookings, meetings, and events across each of our customers, increasing spend captured across our platform. In addition to capturing growth via new travelers onboarded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by our customers, we also see opportunities to increase platform adoption across the existing user base for our customers. For example, there are cohorts of users that are at times resistant to using a new travel and expense platform at the onset; this is no different across our customer base. Our customer success teams partner with our customers to isolate drivers that are leading to a lack of adoption and utilization, and support education to drive adoption and increased utilization to further increase travel and expense spend managed across our platform.</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 xml:space="preserve">Continue to invest in our platform and offerings. </w:t>
      </w:r>
      <w:r>
        <w:rPr>
          <w:rFonts w:ascii="Arial" w:cs="Arial" w:eastAsia="Arial" w:hAnsi="Arial"/>
          <w:sz w:val="14"/>
          <w:szCs w:val="14"/>
          <w:color w:val="auto"/>
        </w:rPr>
        <w:t>We have a strong history of technology innovation, and we believe there is ample opportunity for growth as we continue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 in the development of our platform capabilities to serve current and future travelers and customers. Cumulatively in fiscal years 2026, 2025, and 2024, we invested approximately $406.1 million in R&amp;D, with a focus on expanding our offerings, introducing new features and hiring top technical talent to continue to evolve our platform.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Our vision has always been to use the best technology available to create amazing experiences for our users. Our initial technology investments focused on the deployment of ML algorithms to power highly-personalized recommendations for travelers on our platform. This allows us to offer a highly curated inventory of travel options within seconds vs. the hours previously spent by travelers researching the perfect hotel and flight options, creating significant efficiencies and cost savings for travelers. In addition to our ML investments, we have invested heavily in deploying Gen AI capabilities to complement our ML-based capabilities, leading to our development of Navan Cognition. Navan Cognition is our innovative proprietary AI framework that combines the precision and predictive power of ML with the reasoning capabilities of LLMs, representing a new paradigm in AI-powered travel management. On our platform, Navan Cognition enables us to create, train, deploy, and supervise specialized virtual agents that can handle complex tasks previously requiring human intervention. Our virtual agents now masterfully manage everything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Looking ahead,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Edge, which is powered by Navan Cognition and designed to redefine how travelers book, modify, and manage trips on the go via their mobile devices. Navan Edge capabilities range from personalized search responses to taking specific actions, such as automatically requesting a late check-in at a hotel in response to a delayed flight.</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Navan Cognition has also been core to helping improve the service offering of our platform without adding cost to our customers and enabling us to further optimize margins. For example, our AI-powered virtual agent chatbot, Ava, handled approximately 52% of user interactions during fiscal 2026 while maintaining an impressive CSAT score of 96% for our overall platform and 81% for our virtual agent, which is on par with human agent performance, each for fiscal year 2026. Looking ahead, we expect to continue to invest in and expand both our ML and Navan Cognition capabilities.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For example, we acquired Reed &amp; Mackay (“R&amp;M”), a high-end travel and meeting and events business with global clientele and market reach, in April 2021, allowing us to expand our global reach,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expanding our capabilities around high-end, high-touch business travel, as well as meetings and events. The internalization of these capabilities ultimately set the foundation for expanding our VIP and Meeting and Events offerings across our customer base. In addition to making acquisitions to enhance our offerings, we’ve also selectively acquired international-facing travel and expense management solutions to broaden the markets we serve, including, but not limited to, Comtravo (February 2022), a modern travel solution in Germany, Austria, and Switzerland; Resia (February 2022), a leading travel agency covering Northern Europe; Tripeur (April 2023), a leading travel and expense management company serving India; and Regent (June 2024), a business travel and events business in Italy.</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Should the opportunity for future inorganic growth present itself for developing future capabilities, supplier relationships, geographic expertise, or other means of serving our travelers and customers, we may consider pursuing them.</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 xml:space="preserve">Grow our international presence. </w:t>
      </w:r>
      <w:r>
        <w:rPr>
          <w:rFonts w:ascii="Arial" w:cs="Arial" w:eastAsia="Arial" w:hAnsi="Arial"/>
          <w:sz w:val="14"/>
          <w:szCs w:val="14"/>
          <w:color w:val="auto"/>
        </w:rPr>
        <w:t>We continue to broaden the scope and extent of our offerings outside of the United States. The inherently international nature of travel has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These integrated capabilities across the travel and expense spectrum have allowed us to offer a global solution with unified visibility and control for our customers across various countries and geographies, allowing us to materially increase our presence across non-U.S.-based customers.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Customers, Suppliers, and Payment Partners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Customers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define a customer as a company or organization that contracts with us to provide its dedicated users with access to our Travel, Corporate Payments, Expense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Management, and/or on-demand travel management offerings (including our Meetings and Events, VIP, and Bleisure offerings).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serve a broad and diverse customer base with customers ranging from enterprise businesses to middle-market to small and medium-sized businesses. This breadth is echoed in the variety of industries we serve, with customers spanning a diverse array of sectors, from software and technology to real estate, health, media, retail, finance, and more.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Suppliers. </w:t>
      </w:r>
      <w:r>
        <w:rPr>
          <w:rFonts w:ascii="Arial" w:cs="Arial" w:eastAsia="Arial" w:hAnsi="Arial"/>
          <w:sz w:val="14"/>
          <w:szCs w:val="14"/>
          <w:color w:val="auto"/>
        </w:rPr>
        <w:t>We define a supplier as a third-party provider of travel inventory or distribution services, including commercial airlines, low-cost carriers, hotel operators, lodging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aggregators, rail carriers, car rental companies, black car or ground transportation providers, and operators of GDSs. Suppliers contract with us to make their inventory available for booking by customers and users on our platform and may compensate us through commissions, incentives, or transactional fee arrangements.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maintain a broad network of suppliers and payment partners that support our offerings. Our suppliers include airlines, hotels, rental car companies, rail carriers, black car services, and GDSs. We earn revenue from these suppliers in the form of fees on a per-transaction basis. Under our arrangements with certain suppliers, we earn additional fees when cumulative actual booking or transaction dollar volume exceeds specified contractual thresholds. We primarily source flight and lodging inventory on our platform through GDSs, online travel agencies, partnerships, and NDCs, supplemented by direct connections with individual airlines and hotels. We source the majority of our rail inventory through a third-party aggregator that functions similarly to a GDS. We source car rental inventory through GDSs and online travel agency integrations, with direct connections with rental car agencies. We access black car services through a separate GDS that specializes in black car transportation.</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Payment Partners. </w:t>
      </w:r>
      <w:r>
        <w:rPr>
          <w:rFonts w:ascii="Arial" w:cs="Arial" w:eastAsia="Arial" w:hAnsi="Arial"/>
          <w:sz w:val="14"/>
          <w:szCs w:val="14"/>
          <w:color w:val="auto"/>
        </w:rPr>
        <w:t>Our payment partners primarily include corporate card payment processors and our card issuing partners. We earn revenue from our payment partners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fees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transaction dollar volume of spend on our corporate cards. We do not earn revenue from customers’ use of the cards enrolled in Navan Connect nor do we bear any risk related to payments made with those cards.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additional information, refer to Note 1 — Description of Business and Significant Accounting Policies, to our consolidated financial statements included elsewhere in this Annual Report on Form 10-K for additional details regarding our relationships with our various suppliers and payment partners and the extent to which we earn revenue under our arrangements with these suppliers and payment partners.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revenue is geographically diverse. For fiscal 2026 and 2025, revenue generated from customers and suppliers outside of the United States represented 38% and 41%, respectively, of our revenue. This global presence reflects the international nature of business travel and our platform's ability to support customers with operations and employees worldwide.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&amp; Marketing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Our sales and marketing teams are dedicated to driving adoption of our travel management, expense and corporate card offerings across our core geographies.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go-to-market strategy is designed to best serve our large, diverse, and global customer base. The customers that we serve range from small businesses considering a managed travel and expense solution for their employees for the first time, to several of the world’s largest global enterprises. We typically sell into finance, accounting and procurement teams, and at times also the C-suite, aligning with business transformation initiatives focused around driving hard cost savings, operating efficiencies, as well as travel and expense policy adherence, while improving user productivity and engagement. We focus on surfacing value to every department throughout the customer engagement process as our travel, corporate cards, and expense offerings are relevant and applicable to functions across the business, from front-office to back-office.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deploy two primary sales motions, which are tailored to the needs of each of our customer types and regions.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sales-led and product-led go-to-market strategies are targeted towards prospective customers who oftentimes do not have an existing travel and expense management solution. These customers are oftentimes smaller and find Navan in various ways, including through our growth marketing efforts and are attracted to the streamlined experience we provide to travelers and the tangible cost savings potential provided by our platform, as well as the convenience of our self-service capabilities. In fact, since launching our new self-serve offering in March 2022, thousands of customers have joined our platform through our website, with minimal sales touchpoints. We have also established affiliate partnerships as an additional channel to engage companies. Once live and transacting, these companies leverage our comprehensive knowledge base library, chat support, and a scaled customer-success desk for ongoing post go-live support. Customers have the opportunity to purchase additional Navan offerings directly from the platform and/or with the assistance of an account executive.</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prospective customers with existing travel and expense management solutions, we deploy both inside and field sales professionals around the globe, with our exact approach adjusted based on the size and complexity of the prospective customer. These businesses are typically larger and have highly complex travel needs and legacy systems. These customers are assigned account managers for fast implementation and post go-live to drive optimal adoption, expansion, and retention.</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travel management has been the focus of our sales teams since our founding, the launch of our expense and corporate payments offerings in 2020 broadened our sales motion and favorable customer impact. With these offerings, we sell an all-in-one suite of complementary capabilities. Our Travel offering is often the beginning of a customer’s journey. From there, customers realize synergies by expanding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Corporate Payments and Expense Management offering. For customers that initially purchased our Travel offering exclusively, our sales organization checks in periodically to position our Expense Management and Corporate Payments offerings (along with our VIP, Meetings and Events, and Bleisure offerings) to expand customer value. These customers are also prompted within our application to highlight the potential value upside from coupling their existing offerings with our broader product suite. The efforts of our sales organization, as well as the prompts within the application, are critical drivers for helping us capture the significant go-forward runway we have by driving deeper penetration of our existing customers across our entire product suite.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marketing efforts focus on reach, acquisition, and revenue. We have been able to use our travel and expense management strategy to win customers ranging from five employees to thousands of employees, all while in the process of building brand and category awareness and creating a new market. To establish awareness of our platform, we leverage a world-class demand generation engine that feeds self-service channels as well as our sales teams. We generate leads through digital marketing campaigns, paid search, referrals, word-of-mouth, content-marketing, account-based marketing, in-product customer education, brand advertising, public relations, and social media.</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grow our relationships with existing customers by expanding their engagement with our platform and our offerings. Expanded use of our platform is enabled by content marketing initiatives.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&amp; Development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innovation is fundamentally powered by our world-class global Research and Development, or R&amp;D, organization, where we have deeply embedded AI to help drive rapid, targeted innovation and deliver AI-enhanced value to our customers. The velocity, agility, and productivity of our R&amp;D capabilities are significantly amplified by AI, representing a key competitive differentiator. Guided by an AI-first technology vision and DORA (“DevOps Research and Assessment”) elite standards, our engineering teams often deploy production changes over 100 times in a day. Strategic AI adoption throughout the engineering lifecycle, from coding assistance to intelligent deployment, has accelerated our pace of development and innovation. This AI-augmented approach is powered by our strong global R&amp;D talent team, strategically distributed across key innovation hubs including Palo Alto, Bangalore, Berlin, and Tel Aviv. This global footprint allows us to operate 24/7 from an engineering perspective, allowing us to scale our platform capabilities with significant speed and efficiency.</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continuously invest in R&amp;D, with a primary focus on enhancing our platform’s intelligence, functionality, and user experience through the continual integration of AI capabilities, aimed at ensuring the solutions we introduce are predictive of evolving customer demands. Our AI-augmented, customer-centric feedback loop enables us to proactively drive operational efficiencies and a personalized customer experience. This commitment extends to maintaining a secure, scalable, and high-performance platform, with AI playing a crucial role in areas like threat detection, system optimization, and predictive maintenance. Our R&amp;D consistently yields market-defining, AI-powered offerings, from intuitive travel bookings and sophisticated corporate cards with AI-based fraud prevention, to AI-native expense automation. Notably, solution introductions from our R&amp;D team such as Ava, our in-house, proprietary AI customer service tool, allowed our platform to autonomously handle approximately 52% of user interactions during the year ended January 31, 2026, enhancing customer satisfaction.</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the global breadth of our R&amp;D engineering team, its deep use of AI, and the resulting efficiency of the R&amp;D team are strategic advantages for us, allowing us to innovate quickly, keep our infrastructure costs low (allowing us to drive higher margins), and continuously redefine the possibilities in travel and expense management.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We compete in several highly competitive industries, and our ability to compete successfully and grow our market share is essential to our long-term growth and success.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not a traditional travel provider. Unlike legacy travel management companies that operate as services businesses, Navan is a software platform built on modern infrastructure, proprietary AI, and automation. Our higher-margin model enables us to reinvest more aggressively in product innovation, user experience, and go-to-market, and drives deeper engagement across our customer base. As a result, we are able to serve a broader range of customers, from startups to global enterprises, while compounding the value of our network with every new user, customer, and supplier added. This creates a powerful flywheel and network effect, contributing to our growth potential.</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travel industry is highly competitive and fragmented. We currently compete, and will continue to compete, with a variety of travel and travel-related companies, including other travel management service providers such as BCD Travel, Global Business Travel Group, and SAP Concur, traditional travel agencies, as well as emerging and established online travel agencies. We also face competition, to a lesser extent, from credit card loyalty programs, online travel search and price comparison services, facilitators of alternative accommodations such as short-term home or condominium rentals, social media and e-commerce websites, as well as direct-booking platforms from hotel chains and airlines. We compete by offering our customers a unified, end-to-end travel and expense management platform with global scale and broad inventory, as well as by delivering on a better and more intuitive user experience for employees looking to book their travel, better customer service, better personalization, and more automation across workflows to drive efficiency. We compete against legacy travel companies with our differentiated technology platform that has been built over many years and by technology driven talent. We believe our investments in technology and our ability to act on the underlying data we have collected across our customers are unique and as we continue to invest, we should see an acceleration of our flywheels. We compete against emerging companies with our global scale, supply relationships, and infrastructure. Business travel is global and involves connecting a fractured supplier base to travel buyers, and we have invested in building those direct relationships and creating a platform where customers, travelers, and suppliers win.</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Our Expense Management and Corporate Payments offerings face competitive challenges from do-it-yourself approaches as well as horizontal platform solutions with expense management features such as Expensify, Oracle, and SAP, corporate card providers, and expense management solutions such as Brex and Ramp. With the introduction of new technologies and the entry of new companies into the market, we expect competition to persist and intensify. We compete against these new and existing solutions by serving a robust travel and expense management solution that integrates data across both workflows into a unified, end-to-end platform, allowing us to offer our customers full visibility and control across their travel and expense spend, and drive savings and operational efficiency. In addition to this, we have long believed in an open API policy. This ultimately underpinned the launch of Navan Connect, which allows customers and travelers to port any enrolled corporate Mastercard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or Visa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 into our Expense Management offering, including those issued by other corporate card providers such as Brex. For more information on risks associated with our information technology systems, see the section titled “Risk Factors—We face significant competition in the markets we serve, and if we do not compete effectively, our business, results of operations, and financial condition could be harmed.”</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historically experienced seasonality in our business, primarily related to seasonal travel trends of business travelers, as our users typically travel less during holiday periods, though this effect varies regionally. As our revenue is primarily driven by travel volume, our revenue has historically been strongest in the third fiscal quarter. Refer to the section titled “Risk Factors — Risks Related to Our Business and Industry” for additional information describing how our business is affected by seasonality.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intellectual property rights, including those in our proprietary technology, software, data, processes, know-how, and brand, are an important aspect of our business and help us maintain our competitive position. To establish and protect our rights in our intellectual property, we rely upon a combination of patent, copyright, trade secret, and trademark laws, and contractual restrictions such as confidentiality agreements, licenses, and intellectual property assignment agreements.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As of January 31, 2026, we have six trademark registrations and ten trademark applications in the United States, as well as eighty-two trademark registrations and twelve trademark applications in foreign jurisdictions. We will pursue additional trademark registrations to the extent we believe it would be beneficial and cost effective. We also own domain names, including </w:t>
      </w:r>
      <w:r>
        <w:rPr>
          <w:rFonts w:ascii="Arial" w:cs="Arial" w:eastAsia="Arial" w:hAnsi="Arial"/>
          <w:sz w:val="14"/>
          <w:szCs w:val="14"/>
          <w:u w:val="single" w:color="auto"/>
          <w:color w:val="auto"/>
        </w:rPr>
        <w:t>www.navan.com</w:t>
      </w:r>
      <w:r>
        <w:rPr>
          <w:rFonts w:ascii="Arial" w:cs="Arial" w:eastAsia="Arial" w:hAnsi="Arial"/>
          <w:sz w:val="14"/>
          <w:szCs w:val="14"/>
          <w:color w:val="auto"/>
        </w:rPr>
        <w:t>.</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we have two issued patents and sixteen pending patent applications in the United States, and thirteen pending international patent applications. One of our issued U.S. patents expires in 2039 and the other in 2041. We continually review our development efforts to assess the existence and patentability of new intellectual property.</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control access to our intellectual property and confidential information through internal and external controls. Our practices require our employees and third parties who develop any material intellectual property on our behalf to enter into confidentiality and invention assignment agreements. Our practices also require third parties with whom we share our confidential proprietary information to enter into nondisclosure and confidentiality agreements or to be bound by professional, fiduciary or other contractual obligations requiring the applicable employee or third party to protect our trade secrets, proprietary know-how, and other confidential proprietary information, including those related to our proprietary AI models. However, we cannot guarantee that we have entered into agreements containing such obligations with each party that has been involved in the development of intellectual property for us or that has, or may have had, access to our trade secrets, proprietary know-how, and other confidential proprietary information.</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intellectual property laws and our procedures and restrictions provide only limited protection, and any of our intellectual property rights may be challenged, invalidated, circumvented, infringed, or misappropriated.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business activities are or may be subject to various federal, state, local, and foreign laws, rules, and regulations, including those related to travel, data privacy, security and data protection, financial services, intellectual property, advertising practices, employment and labor, tax, anti-corruption, and export control and sanctions laws.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travel management business is subject to registration and licensing requirements imposed by airline industry-established organizations, including agent accreditation requirements imposed by the Airlines Reporting Corporation, or the ARC, in the United States and the International Air Transport Association, or the IATA, in other countries. Pursuant to such accreditation and licensing requirements, our business is authorized to sell and issue tickets on behalf of various airlines, subject to agent rules set by the ARC and the IATA. The failure by our business to comply with such requirements and rules or to obtain and maintain such licenses could result in the suspension or revocation of our authority to sell and issue tickets on behalf of one or more airlines. In addition, our R&amp;M UK subsidiary also has an Air Travel Organisers’ Licensing, or ATOL, registration, which is similar to the EU package travel directive (that otherwise generally does not apply to Navan and its subsidiaries).</w:t>
      </w:r>
    </w:p>
    <w:p>
      <w:pPr>
        <w:spacing w:after="0" w:line="99"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As we continue to expand our travel management offerings based on new offerings and features or new geographic regions, we may become subject to additional laws and regulations applicable to travel management companies or travel booking platforms, including, in some countries, licensing and registration requirements, price or other display requirements, mandatory bonding and travel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fund contributions, industry specific value-added tax regimes, and laws regulating the provision of travel packages.</w:t>
      </w:r>
    </w:p>
    <w:p>
      <w:pPr>
        <w:spacing w:after="0" w:line="136" w:lineRule="exact"/>
        <w:rPr>
          <w:sz w:val="20"/>
          <w:szCs w:val="20"/>
          <w:color w:val="auto"/>
        </w:rPr>
      </w:pPr>
    </w:p>
    <w:p>
      <w:pPr>
        <w:jc w:val="both"/>
        <w:ind w:right="100"/>
        <w:spacing w:after="0" w:line="256" w:lineRule="auto"/>
        <w:rPr>
          <w:sz w:val="20"/>
          <w:szCs w:val="20"/>
          <w:color w:val="auto"/>
        </w:rPr>
      </w:pPr>
      <w:r>
        <w:rPr>
          <w:rFonts w:ascii="Arial" w:cs="Arial" w:eastAsia="Arial" w:hAnsi="Arial"/>
          <w:sz w:val="14"/>
          <w:szCs w:val="14"/>
          <w:color w:val="auto"/>
        </w:rPr>
        <w:t>Currently, we partner with banks and other regulated financial institutions that enter into direct agreements with our customers to provide regulated offerings as part of our expense management offering. Nevertheless, the laws and regulations related to payments and lending are complex, subject to change, and vary across different jurisdictions in the United States and globally. We may become subject to financial services laws and regulations, including laws and regulations regulating or requiring licensing for payments or lending-related activities, as we expand our corporate payments offering into new regions and develop new offerings in the future or if regulatory interpretations of existing laws change or are otherwise deemed to apply to our business activities. New and existing laws and regulations (or changes in interpretation of existing laws and regulations) may also be adopted, implemented, or interpreted to apply to our activities or those of our service partners, and uncertainty around the application of these laws may affect demand for travel and our expense management platform. Additionally, as our platform’s geographic scope expands, regulatory agencies, courts, and other authorities may claim that we are subject to additional requirements or are prohibited from conducting our business in or with customers in certain jurisdictions, either generally or with respect to certain services, or that we are otherwise required to change our business practices. We believe we are in material compliance with such laws and regulations and do not expect continued compliance to have a material impact on our capital expenditures, earnings, or competitive position. For additional discussion on governmental regulation affecting our business, please see refer to Item 1A — Risk Factors.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Data Security and Privacy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data we collect, use, receive, and otherwise process is integral to our business, enabling us to provide our offerings to our customers and providing us with insights to improve our platform and offerings, particularly related to our AI offerings enabled by Navan Cognition. Our collection, use, receipt, and other processing of data (including personal information) in our business subjects us to numerous U.S. state and federal and international laws and regulations addressing privacy, data protection, information security and the collection, storing, sharing, use, transfer, disclosure, protection, and processing of certain types of data, and use of personal information for marketing, advertising, and other activities conducted by telephone, email, mobile devices, and the Internet. Such regulations include, for example, CAN-SPAM, CCPA, GDPR, and the EU ePrivacy Directive. We work to comply with, and to help customers to comply with, applicable laws and regulations relating to privacy, data protection, cybersecurity, and information security. This helps to underpin our strategy of building trust and providing a strong experience to customers.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accept and store debit and credit cards for payment, and as result, we are subject to the PCI-DSS, issued by the Payment Card Industry Security Standards Council. PCI-DSS contains compliance guidelines with regard to our security surrounding the physical and electronic storage, processing, and transmission of cardholder data.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contract with third-party service providers, including shared cloud computing services, to store or process data (including personal information) on our behalf in compliance with applicable laws, regulations, rules and standards. We strive to enter into data processing agreements with all our third-party providers to clearly define the services being provided and the nature of the engagement, for example the protection and ownership of the data being processed by the service provider. We also maintain processes to ensure that all our third-party providers comply with our data processing agreements, as applicable. However, we may at times fail to do so and cannot ensure that our data processing agreements will be sufficient to protect us from claims, proceedings, liability or adverse publicity relating to data privacy or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Despite our efforts to comply with applicable laws, regulations and other obligations relating to privacy, data protection, cybersecurity and information security, it is possible that our interpretations of the law, our practices or platform could be inconsistent with, or fail or be alleged to fail to meet all requirements of, such laws, regulations, or obligations. For more information on risks associated with our information technology systems, see the section titled “Risk Factors—Risks Related to Privacy, Cybersecurity, and Intellectual Property.”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team that we have built at Navan has been critical to the success we have had to date. As we continue to invest in and grow both our business and our team, our employees continue to be guided by core principles shared across our organization on how we operate and behave.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January 31, 2026, we had approximately 3,700 employees globally. None of our employees are represented by a labor union. However, in certain countries in which we operate, such as The Netherlands, we are subject to, and comply with, local labor law requirements, which may automatically make our employees subject to industry-wide collective bargaining agreements. We have not experienced any work stoppages, and we believe our relations with our employees to be good.</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invested substantial time and resources in building our team. We are highly dependent on our management and high-quality employees and it is crucial that we continue to attract and retain top talent.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were incorporated in the State of Delaware in February 2015. We completed our initial public offering (“IPO”) in October 2025 and our Class A common stock is currently listed on the Nasdaq Global Select Market (“Nasdaq”) under the symbol “NAVN.”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principal executive offices are located at 3045 Park Boulevard, Palo Alto, California. Our telephone number is (888) 505-8747. Our website address is www.navan.com. We make available on or through our website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intend to announce material information to the public through filings with the Securities and Exchange Commission (the “SEC”), the investor relations page on our website (www.investors.navan.com),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 on, or that can be accessed through, the foregoing channels is not a part of this Annual Report on Form 10-K.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and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carefully the risks and uncertainties described below, together with all of the other information in this Annual Report on Form 10-K, including the section titled “Management’s Discussion and Analysis of Financial Condition and Results of Operations,” our consolidated financial statements and the related notes included elsewhere in this Annual Report on Form 10-K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Continued macroeconomic uncertainty, including as a result of fluctuating interest rates, inflation, tariffs, political unrest, geopolitical conflict,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growth has also been and may continue to be negatively impacted as our customers, particularly customers with whom we have historically high adoption or expansion rates, do not increase or decrease headcount, including in connection with their adoption of automation and other AI solutions, reduce T&amp;E budgets or otherwise increase scrutiny over IT spending for any reason. Over the last few years, adoption of remote work models has also become widespread, initially as a matter of necessity in response to the COVID-19 pandemic and more recently as a matter of company policy in light of evolving 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 smaller companies with limited travel or IT budgets may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future prefer to use teleconference and virtual meeting technologies indefinitely or substantially limit business travel spending.</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may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geopolitical conflict, and widespread health concerns, such as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95" w:lineRule="exact"/>
        <w:rPr>
          <w:sz w:val="20"/>
          <w:szCs w:val="20"/>
          <w:color w:val="auto"/>
        </w:rPr>
      </w:pPr>
    </w:p>
    <w:p>
      <w:pPr>
        <w:ind w:left="5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political unrest or instability, including due to tariff policies;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global security concerns caused by cyber-terrorism or other terrorist attacks, the threat of terrorist attacks, or the precautions taken in anticipation of such attacks, including elevated threat warnings or selective cancellation or redirection of travel;</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outbreak of hostilities, global conflict, or escalation or worsening of existing hostilities or war, such as the ongoing conflicts in Ukraine and the Middle East and tensions between China and Taiwan, in some cases resulting in in adverse impacts to the cost of airline and other travel;</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increased oil prices, including as a result of geopolitical conflict, and related adverse impacts to the cost of airline and other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sanctions imposed by the United States and other countries, including in response to geopolitical conflict, and retaliatory actions taken by sanctioned countries in response to such sanctions, and the resultant impact on the cost of airline and other travel and the level of travel demand;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adverse changes in visa and immigration policies or the imposition of travel restrictions or more restrictive security procedures;</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occurrence of travel-related accidents or the grounding of aircraft due to safety concerns or regulatory actions;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technical and operational disruptions at key transit hubs, including key international airports, due to insufficient funding of aviation and other travel or transportation agencies or governmental bodies;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preferences from traditional hotel bookings to the use of alternative providers that are not available on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actions or changes to regulations governing the travel industry;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widespread health concerns or pandemics, such as the COVID-19 pandemic.</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historically experienced and may in the future experience negative impacts to our business, financial condition, results of operations, and prospects from some or all of the above disruptions to business and consumer travel.</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Shifts in business travel trends or any decline in business travel demand would negatively impact our business, growth, results of operations, and financial condition.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acquisition rates as well as reductions in usage of our offerings by our customers, which would negatively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attract new customers and grow our customer base, which would negatively impact our revenue growth and results of operations.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future growth depends in large part on increasing our customer base and maintaining and increasing the revenue we generate from those customers. To increase our gross booking volume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to retain, and to expand the use of our platform within, our existing customers, including:</w:t>
      </w:r>
    </w:p>
    <w:p>
      <w:pPr>
        <w:spacing w:after="0" w:line="91" w:lineRule="exact"/>
        <w:rPr>
          <w:sz w:val="20"/>
          <w:szCs w:val="20"/>
          <w:color w:val="auto"/>
        </w:rPr>
      </w:pPr>
    </w:p>
    <w:p>
      <w:pPr>
        <w:ind w:left="520" w:hanging="260"/>
        <w:spacing w:after="0" w:line="29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demand for and trends in business travel among existing and potential customers;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reductions in T&amp;E budgets and increased IT budget scrutiny at existing or potential customers;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to establish, maintain, or expand relationships with key suppliers and other partners, including any related changes in commission rates that negatively impact us;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determine optimal pricing for our offerings, including in international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to successfully deploy new features and integrations or continue development or integration of Navan Cognition and related AI features and functionalities;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to provide a quality customer experience and customer support;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of our sales and marketing strategies, including if we spend time and funding on strategies that do not provide sufficient return on our investment.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growth will also depend in part on capturing a greater portion of the unmanaged travel market. For example, if customers do not adopt Navan Edge at the rates that we anticipate, we may be unsuccessful in the effort to capture a greater portion of this market. If we are unsuccessful in our efforts to acquire new customers and increase our customer base, including due to any of the above factors, or if we do so in a way that is not profitable, our growth, business, results of operations, and financial condition would be harmed.</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additional offerings at the rate we anticipate or at all, our business and prospects could be negatively impacted. The success of these additional offerings depends upon our ability to sell them to our existing travel management customers and on increasing utilization once adopted by our customers. Additionally, we recently announced the planned transition of customers of our R&amp;M service model to our Navan platform. We have been investing and expect to continue to invest in this and a number of other strategic growth initiatives to drive adoption of our offerings, but there can be no assurance that such investments will be effective on a timely basis or at all. In particular, we may experience more difficulty or fluctuations in adoption of our core Navan offering by former customers of the R&amp;M service model, including because we have experienced some challenges to customer retention in this customer group in the past. We may also see slower than anticipated expansion rates of our additional offerings by smaller customers in the unmanaged travel market, including due to their heightened focus on total cost of ownership and self-service models. In addition, 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In the past, we have experienced higher churn from customers of our R&amp;M service model than from customers of our Navan platform, and uncertainty exists regarding the degree to which the transition to the Navan technology platform will impact our relationships with existing customers of the R&amp;M service model. As a result of any of these factors, our business, financial condition, results of operations, and prospects may be adversely affected.</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 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Travel Management offerings depend on our relationships with suppliers.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the International Air Transport Association’s New Distribution Capability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Commissions on sales through global distribution systems (“GDSs”) are highly standardized, while direct supplier agreements are more variable and may involve higher commissions. If industry-wide 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which may in turn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operating losses and may not achieve or sustain profitability in the future.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were incorporated in 2015 and have incurred net losses in each year since inception, and we may not achieve or, if achieved, sustain profitability in the future. We generated net losses of $398.0 million, $181.1 million and $331.6 million, for fiscal 2026, 2025 and 2024.</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had an accumulated deficit of $ 2.0 billion and $1.6 billion as of January 31, 2026 and 2025. While we experienced significant revenue growth in recent periods, we cannot predict whether we will maintain this level of growth or when we will achieve profitability. We are not certain whether or when our revenue will be sufficient to sustain or increase our growth or to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value of our business and Class A common stock may significantly decrease and our business, financial condition, results of operations, and prospects could be adversely affected.</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a limited history operating our business at its current scale, scope, and complexity in an evolving market and economic environment, which makes it difficult to evaluate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business, plan for future operations and strategic initiatives, predict future results, and evaluate our future prospects, increasing the risks associated with an investment in our Class A common stock.</w:t>
      </w:r>
    </w:p>
    <w:p>
      <w:pPr>
        <w:spacing w:after="0" w:line="64"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We were incorporated in 2015, launched our Travel offering in 2016, introduced our Expense Management offerings in 2020, and in March 2026 launched our Navan Edge product.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IT investment. Accordingly, we have limited experience in, and data and results from, operating our business at its current scale, scope, and complexity and in a rapidly evolving market for business travel. We also have limited data from, and experience operating our business under current macroeconomic conditions, including elevated inflation, and interest rate and foreign</w:t>
      </w:r>
      <w:r>
        <w:rPr>
          <w:rFonts w:ascii="MS PGothic" w:cs="MS PGothic" w:eastAsia="MS PGothic" w:hAnsi="MS PGothic"/>
          <w:sz w:val="14"/>
          <w:szCs w:val="14"/>
          <w:color w:val="auto"/>
        </w:rPr>
        <w:t>‐</w:t>
      </w:r>
      <w:r>
        <w:rPr>
          <w:rFonts w:ascii="Arial" w:cs="Arial" w:eastAsia="Arial" w:hAnsi="Arial"/>
          <w:sz w:val="14"/>
          <w:szCs w:val="14"/>
          <w:color w:val="auto"/>
        </w:rPr>
        <w:t>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implementation, and integration of Navan Cognition, our proprietary AI framework for our platform, and related AI features and functionalities for our platform such as Navan Edge.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results of operations may fluctuate as a result of a number of factors, many of which are outside of our control and may be difficult to predict, including:</w:t>
      </w:r>
    </w:p>
    <w:p>
      <w:pPr>
        <w:spacing w:after="0" w:line="91"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attract new customers and retain and grow sales within our existing customers;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drive adoption of our offerings beyond Travel Management, including our Expense Management offerings;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continue integrating AI into our offerings and expanding our use of AI;</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maintain and expand our relationships with our suppliers, and to identify and attract new suppliers;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overall demand for business travel due to technological changes or changes in business practices, including as a result of current macroeconomic conditions;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occurrence of travel-related accidents or the grounding of aircraft due to safety concerns or regulatory actions;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technical and operational disruptions at key transit hubs, including key international airports, including due to insufficient funding of aviation and other travel or transportation agencies or governmental bodies;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demand for, or pricing of, our platform, including the mix of hotel and air travel booked each quarter;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seasonal demand fluctuations, such as reduced travel by our users during holiday periods;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customers’ T&amp;E budgets and IT spending budgets;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potential and existing customers choosing our competitors’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development or introduction of new products or services that are easier to use or more advanced than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adoption or retention of more entrenched or rival services in the international markets where we compete;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control costs, including our operating expenses;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and timing of payment for operating expenses, particularly research and development and sales and marketing expenses, including commissions;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and timing of non-cash expenses,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 and timing of costs associated with recruiting, training, and integrating new employees, and retaining and motivating existing employees;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fluctuation in market interest and foreign exchange rates, and the impact of inflation and instability in the global banking system on the United States and global economies;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geopolitical conflicts, such as the ongoing conflicts in Ukraine and the Middle East, including related sanctions implemented by other countries, on global travel patterns and financial markets;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political unrest or instability;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successfully execute acquisitions and integrate acquired businesses, and their accounting impact on our results of operations, including impairment of goodwill;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new accounting pronouncements or changes in our accounting policies or practices;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security breaches of, technical difficulties with, or interruptions to, the delivery and use of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brand and reputation;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legal and regulatory compliance costs in new and existing markets;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general economic conditions, both domestically and internationally, as well as economic conditions specifically affecting industries in which our customers participate.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of these and other factors, or the cumulative effect of some of these factors, may cause our results of operations to vary significantly. In addition, our results may fluctuate based on the relative volume of flights and hotel stays booked on our platform, as we tend to collect higher commissions on hotel reservations than air travel.</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Finally, we expect to incur significant additional expenses due to the increased costs of operating as a public company. If our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R&amp;M, a global travel management provider headquartered in the United Kingdom;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customers or investors.</w:t>
      </w:r>
    </w:p>
    <w:p>
      <w:pPr>
        <w:spacing w:after="0" w:line="2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encountered and may in the future encounter difficulties assimilating or integrating the businesses, technologies, products and platform capabilities, personnel, or operations of our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companies, assets, and businesses, particularly if key personnel of an acquired company choose not to work for us, their software is not easily adapted to work with our platform, or we have difficulty retaining the customers of any acquired business due to changes in management, product offerings,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and increasing our expenses, any of which could adversely affect our business, financial condition, results of operations, and prospects.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to the remediation of any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significant amount of our revenue is derived from customers from outside the United States, and we plan to continue expanding our operations internationally in the future. Revenue generated from customers outside of the United States was $266.4 million, or 38% of our revenue, $221.0 million, or 41% and $184.8 million or 46% of our revenue, for the years ended January 31, 2026, 2025 and 2024, respectively. Outside of the United States, we currently have direct and indirect subsidiaries in many countries, including the United Kingdom, France, Israel, Singapore, India, the United Arab Emirates, and Australia, and we have employees in more than 15 countries. Operating in international markets requires significant resources and management attention and subjects us to regulatory, economic, and political risks that are different from those in the United States. In addition, there are significant costs and risks inherent in conducting business in international markets, including:</w:t>
      </w:r>
    </w:p>
    <w:p>
      <w:pPr>
        <w:spacing w:after="0" w:line="99"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establishing and maintaining effective controls at foreign locations and the associated increased costs;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adapting our platform and offerings to non-U.S. consumers’ preferences and customs;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localizing our platform and features for specific countries, including translation into foreign languages, tax, and regulatory updates and associated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expanding our platform and offerings to cover travel methods and providers that are not part, or do not reflect a significant portion, of our offering in the United States;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increased competition from local providers;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compliance with foreign laws, regulations, and licensing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adapting to doing business in other languages and/or cultures;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compliance with anti-bribery laws, such as the U.S. Foreign Corrupt Practices Act of 1977 (the “FCPA” and the UK Bribery Act 2010 (the “UK Bribery Act’) by us, our team members, our suppliers, and our other partners;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difficulties in staffing and managing global operations and the increased travel, infrastructure, and compliance costs associated with multiple international locations;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and other delays and difficulties in setting up foreign operations;</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complexity and other risks associated with current and future foreign legal requirements, including legal requirements related to data privacy and security frameworks, such as the European Union, and UK General Data Protection Regulations, and other data privacy and security laws that impose different and potentially conflicting obligations with respect to how personal data is processed or require that customer data be stored in a designated territory;</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currency exchange rate fluctuations and related effects on our results of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economic and political instability in some countries;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uncertainty of protection for intellectual property rights in some countries and practical difficulties of enforcing rights abroad;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costs of doing business internationally.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engagement with additional offerings. Our growth and business strategy are dependent on our ability to successfully execute our sales strategies at increasing scale.</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 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product-led growth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sales-led growth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incorporated AI-based solutions into our offerings, including through our Navan Cognition framework that powers Navan Edge, Ava and our other virtual agents. As with many innovations, AI presents risks, challenges, and unintended consequences that could impact our ability to successfully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us. We have made significant investments in our AI technology, including in our Navan Cognition framework that powers our agentic product offerings that are critical tools in the efficient scaling of our platform. Our ability to deploy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may need to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card offering exposes us to credit risk and other risks related to customers' ability to pay the balances incurred on their corporate cards.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relationships with such funding sources and result in increased costs of financing, modification or termination of our existing funding arrangements, or impairment of our ability to procure funding, which could adversely affect our business, financial condition, results of operations, and prospects.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of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telecommunications failures, unauthorized intrusion, computer viruses, disabling devices, natural disasters, military actions, terrorist attacks, negligence, and other similar events beyond our control could negatively affect our platform.</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 security incidents that compromise the confidentiality, integrity, or availability of systems they operate for us or the information they process on our behalf.</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and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or cause us to lose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of losses they cause us to incur.</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don't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offerings.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and Navan Edge offerings are nascent, and there can be no assurance that either will reach the level of customer adoption that they were designed to achieve. We may not be able to develop new offerings successfully or to introduce and gain market acceptance of new offerings in a timely manner, or at all. If 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10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Navan Edge,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 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face significant competition in the markets we serve, and if we do not compete effectively, our business, results of operations, and financial condition could be harmed.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not able to control or predict the actions of our customers or users during their engagement with our platform or otherwise. 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If the fraudulent activity occurs through systems controlled by any of our partners, such as our suppliers, we may be unable to remediate or prevent this activity in a timely manner or at all due to limitations in our ability to interact with such systems. The process of identifying the full scope of losses often requires extensive investigation, potentially delaying financial reporting and creating additional operational challenges.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Our failure to adequately detect, address, or prevent these fraudulent transactions could result in multiple adverse consequences beyond direct financial losses, including:</w:t>
      </w:r>
    </w:p>
    <w:p>
      <w:pPr>
        <w:spacing w:after="0" w:line="136"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significant damage to our reputation and brand trust;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litigation and regulatory action across multiple jurisdictions;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errors in financial statements potentially requiring corrections or restatements;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in preparing and filing periodic reports;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failures to meet our reporting and other obligations as a public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additional expenses for remediation and enhanced security measures.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If criminal, inappropriate, or other negative incidents occur due to the conduct of third parties, our ability to attract and retain customers may be harmed, and our reputation, business, and financial results could be harmed.</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the prices we charge in connection with our offerings are unacceptable to our customers, our business, financial condition, and results of operations may be adversely impacted.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pacing w:after="0" w:line="27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abilities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estimates of market opportunity and forecasts of market growth may prove to be inaccurate, and even if the markets in which we compete achieve the forecasted growth, our business could fail to grow at similar rates, if at all.</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estimates of market opportunity and forecasts of market growth may prove to be inaccurate. Such estimates and forecasts, including those we have generated ourselves or that include our data, are subject to significant uncertainty and are based on assumptions and estimates that may not prove to be accurate including due to the risks described herein. Even if the markets in which we compete achieve the forecasted growth, our business could fail to grow at similar rates, if at all.</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our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should not be taken as indicative of our future growth.</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People</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in the Middle East may impact their safety and availability, potentially disrupting our operations and business continuity.</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From time to time, there may be changes in our management team resulting from the hiring or departure of executives and key employees, which could disrupt our business. In addition, we may face challenges retaining senior management and key employees of companies we have acquired, especially as we work to fully integrate those companies into the Navan platform. Our senior management and key employees are employed on an at-will basis. We currently do not have “key person” insurance for any of our employees. Certain of our key employees have been with us for a long period of time and have fully vested equity awards that may cease to be effective as a retention incentive now that we are a public company and such awards are publicly tradable. The loss of our founders,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management or other key employees or that we would be able to timely replace members of our senior management or other key employees should any of them depart.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 certain visas. Many of the companies with which we compete for experienced personnel have greater resources than we do and can frequently offer such personnel substantially greater compensation than we can offer.</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job candidates and existing employees often consider the value of the equity awards they receive in connection with their employment. If the perceived value of our equity or equity awards declines, continues to experience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or geopolitical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team has limited experience managing a public company.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now that our Class A common stock is publicly traded, many of our employees may be eligible to receive significant proceeds from the sale of Class A common stock in the public markets. This may lead to higher employee attrition rates. If we do not replace departing employees on a timely basis, our business and growth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Privacy, Cybersecurity, and Intellectual Property</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and 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 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several foreign countries and governmental bodies, including the European Union and the United Kingdom,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 (the “EU GDPR”) the United Kingdom Data Protection Act of 2018 that effectively implemented EU GDPR under UK law and later amended by virtue of the European Union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Act 2018 (collectively, the “UK GDPR”) other EU member state-implementing legislation, and the privacy laws of many other foreign jurisdictions.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example, the EU GDPR and the UK GDPR impose stringent requirements for controllers and processors of personal data of individuals within the European Economic Area (the “EEA”) and the United Kingdom,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by law to represent their interests. Other countries outside of Europe increasingly emulate European data protection laws. As another example, the General Data Protection Law (Lei Geral de Proteção de Dados Pessoais, Law No. 13,709/2018) (the “LGPD”) applies to our operations. The LGPD broadly regulates processing personal data of individuals in Brazil and imposes compliance obligations and penalties comparable to those of the EU GDPR. The Swiss Federal Act on Data Protection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Operating our business and offering our services in Europe and other countries with similar data protection laws subjects us to substantial compliance costs and potential liability and may in the future require changes to the ways we collect and use personal information.</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ordinary course of business, we transfer personal data from Europe and other jurisdictions to the United States and other countries. Countries in Europe and other jurisdictions have enacted laws requiring data to be localized and limiting the transfer of personal data to other countries. In particular, the EEA and the United Kingdom have significantly restricted the transfer of personal data to the United States and other countries whose privacy laws they generally believe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 standard contractual clauses, the UK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(such as China, Russia, and Iran) and covered persons (i.e., individuals and entities who are designated as such by the U.S. Attorney General or considered “foreign persons” and are majority owned by, organized under the laws of, a primary resident in, or a contractor of, a covered person or country of concern,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applicable)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 application providers, customers, travelers, suppliers, and other partners to lose trust in us, which could harm our business, financial condition, results of operations, and prospects.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United Kingdom,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 our business relies significantly on our ability to accept credit or debit card payments. Such payments are subject to the Payment Card Industry, or PCI, Data Security Standard (“DSS”), which is a multifaceted security standard that is designed to protect credit card account data. We rely on vendors to handle PCI matters and to ensure PCI compliance. Despite our compliance efforts, we may become subject to claims that we have violated the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may at times fail (or be perceived to have failed) in our efforts to comply with our data privacy and security obligations. Moreover, despite our efforts, our personnel or third parties with whom we work have in some cases failed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liability issues as a result of lawsuits, regulatory investigations, and legislative proposals could harm our reputation or otherwise adversely affect the growth of our 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Furthermore, any costs incurred as a result of this potential liability could harm our business, financial condition, results of operations, and prospects.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whom we work, such as through phishing or supply chain attacks.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employ a shared responsibility model where our customers are responsible for using, configuring and otherwise implementing security measures related to our platform and offerings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are perceived to be inadequate or breached,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we may incur significant liability and financial loss and be subject to regulatory scrutiny, investigations, proceedings, and penalties.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fees of such software systems, and which are subject to change by such providers from time to time. Our business will be harmed if any provider of such software systems:</w:t>
      </w:r>
    </w:p>
    <w:p>
      <w:pPr>
        <w:spacing w:after="0" w:line="136"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discontinues or limits our access to its software (including legacy software) or APIs;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modifies its terms of service or other policies, including fees charged to, or other restrictions on us, or other application developers;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how information is accessed by us or our customers;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establishes more favorable relationships with one or more of our competitors; 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develops or otherwise favors its own competitive offerings over our platform.</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use open-source software in our platform, which could subject us to litigation or other actions.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use open-source software on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currently use AI, including Gen AI and ML, in our platform framework and our offerings, as well as new agentic AI and Gen AI developments, including in our Navan Cognition framework and product interface enhancements such as Navan Edge.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models unfavorably change the terms on which their AI, including Gen AI and ML, technologies are offered or terminate their relationship with us, our solutions may become less appealing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 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We may have to adapt our business practices, contractual arrangements, and services to comply with such obligations. We expect other jurisdictions will adopt similar laws.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Existing laws and regulations may also be interpreted in ways that would affect the operation of and availability of IP protection for our AI, including Gen AI and ML, technologies, as well as the outputs from our use of such technologies. Further, countries and states are applying their data and consumer protection laws to AI technologies, and particularly generative AI and interactive chatbots.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 and requires us to expend resources and adjust our offerings or services in certain jurisdictions.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model, including Gen AI or ML, ingests personal data and makes connections using such data, those technologies may reveal other personal or sensitive information generated by the model.</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 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 us, or if such intellectual property is later found to be owned by others, we could face claims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infringement, be required to obtain additional licenses on unfavorable terms, or lose valuable rights, any of which could adversely affect our business, financial condition, results of operations, and prospects.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 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reliance on third parties, including employees located outside of the United States, for the development of our intellectual property exposes us to additional risks, including limited enforceability of intellectual property rights, potential violations of U.S. export controls, and increased risk of intellectual property theft or misappropriation.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and Regulatory Matters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Payments and other financial services-related regulations and oversight are or may become material to our business. Our failure to comply could harm our business.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 laundering, counter-terrorism financing, escheatment, U.S. and international sanctions regimes, and compliance with the PCI-DSS.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and desist orders, if we are found to violate these laws, and our relationships with our financial institution partners could be at risk of or could be subject to termination or other adverse consequences.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anti-corruption, anti-bribery, and similar laws, and non-compliance with such laws can subject us to criminal or civil liability and harm our business.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face risks associated with the growth of our business with certain heavily regulated industry verticals.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market and sell our offerings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applicable to our activities with customers in such verticals, our business, financial condition, and results of operations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and future litigation against us could be costly and time-consuming to defend.</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For example, on February 23, 2026, a putative securities class action complaint was filed against us and our directors and certain of our current and former executive officers in the U.S. District Court for the Northern District of California alleging violation of the Securities Act.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Tax Matters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additional tax liabilities as a result of changes in tax laws.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in 2025 the U.S. government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(the “OECD”) and the European Commission. For example, the OECD has been leading multilateral efforts on proposals, commonly referred to as “BEPS 2.0”, which include, among other measures, the imposition of a minimum effective corporate tax rate (referred to as “Pillar Two”). A number of countries in which we conduct business have enacted, or are in the process of enacting, core elements of the Pillar Two rules (with further provisions expected to be enacted in the future). Based on our understanding of the applicable minimum revenue thresholds, we currently expect that we do not fall within the scope of the Pillar Two rules. However,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become subject to the Pillar Two rules in the future, it could increase our overall tax obligations and result in additional compliance costs. We are monitoring developments and evaluating the potential impact of the Pillar Two rules and assessing our eligibility for applicable transitional and safe harbor provisions (including the additional safe harbor published by the OECD on January 5, 2026 as part of its proposed “side-by-side” arrangement, which applies to multinational groups headquartered in certain qualifying jurisdictions, which includes the United States).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to offset future taxable income may be subject to certain limitations.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of January 31, 2026, we had net operating loss (“NOL”) carryforwards of approximately $841.5 million, $702.2 million and $19.8 million for federal, state, and foreign tax purposes, respectively, that are available to reduce future taxable income. Under current U.S. federal income tax law, our NOLs generated in tax years beginning before January 1, 2018 will begin expiring in 2036, and our NOLs generated in tax years beginning after December 31, 2017 may be carried forward indefinitely, but utilization of such post-2017 NOLs that are carried forward to taxable years beginning after December 31, 2020 is limited to a maximum of 80% of the taxable income for such year determined without regard to such carryforwards. Our state NOL carryforwards will begin to expire in 2027. Our foreign NOLs will carryforward indefinitely. As of January 31, 2026, we had available research and development tax credit carryforwards of approximately $17.0 million and $13.2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or tax credit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will significantly impact our ability to use our NOL or tax credit carryforwards. We may have experienced additional ownership changes that have not yet been identified that could result in the expiration of our NOL or tax credit carryforwards before utilization.</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may experience ownership changes as a result of future stock offerings or other changes in the ownership of our stock. Future changes in our stock ownership, many of which are outside of our control, could result in an ownership change under Sections 382 or 383 of the Code. Furthermore, our ability to utilize NOL or tax credit carryforwards of companies that we acquire may be subject to limitations. For these reasons, we may not be able to utilize a significant portion of our NOL or tax credit carryforwards, even if we were to achieve profitability. In addition, any future changes in tax laws could impact our ability to utilize NOL or tax credit carryforwards in future years and may result in greater tax liabilities than we would otherwise incur and adversely affect our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760"/>
        <w:spacing w:after="0" w:line="442" w:lineRule="auto"/>
        <w:rPr>
          <w:sz w:val="20"/>
          <w:szCs w:val="20"/>
          <w:color w:val="auto"/>
        </w:rPr>
      </w:pPr>
      <w:r>
        <w:rPr>
          <w:rFonts w:ascii="Arial" w:cs="Arial" w:eastAsia="Arial" w:hAnsi="Arial"/>
          <w:sz w:val="14"/>
          <w:szCs w:val="14"/>
          <w:color w:val="auto"/>
        </w:rPr>
        <w:t xml:space="preserve">cash flows in the period or periods for which a determination is made, and could significantly harm our business, financial condition, results of operations, and prospects. </w:t>
      </w:r>
      <w:r>
        <w:rPr>
          <w:rFonts w:ascii="Arial" w:cs="Arial" w:eastAsia="Arial" w:hAnsi="Arial"/>
          <w:sz w:val="14"/>
          <w:szCs w:val="14"/>
          <w:b w:val="1"/>
          <w:bCs w:val="1"/>
          <w:i w:val="1"/>
          <w:iCs w:val="1"/>
          <w:color w:val="auto"/>
        </w:rPr>
        <w:t xml:space="preserve">Changes in our effective tax rate or tax liability may adversely affect our results of operations. </w:t>
      </w:r>
      <w:r>
        <w:rPr>
          <w:rFonts w:ascii="Arial" w:cs="Arial" w:eastAsia="Arial" w:hAnsi="Arial"/>
          <w:sz w:val="14"/>
          <w:szCs w:val="14"/>
          <w:color w:val="auto"/>
        </w:rPr>
        <w:t>Our effective tax rate could increase due to several factors, including:</w:t>
      </w:r>
    </w:p>
    <w:p>
      <w:pPr>
        <w:spacing w:after="0" w:line="2" w:lineRule="exact"/>
        <w:rPr>
          <w:sz w:val="20"/>
          <w:szCs w:val="20"/>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U.S. and international jurisdictions in which we operate due to differing statutory tax rates in various jurisdictions;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tax laws, tax treaties, and regulations or the interpretation of them;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our international operations, corporate structure, business model, or intercompany arrangements;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Any of these developments could adversely affect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Financial and Accounting Matters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adverse deviation from our revenue and operating profit target, which may negatively impact our results of operations.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the reduced disclosure requirements applicable to emerging growth companies may make our Class A common stock less attractive to investors.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(the “Securities Act”) as modified by the Jumpstart Our Business Startups Act of 2012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(the “Sarbanes-Oxley Act”), (ii) reduced disclosure obligations regarding executive compensation in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could be an emerging growth company for up to five fiscal years following the completion of our IPO. However, certain circumstances could cause us to lose that status earlier, including the date on 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consolidated financial statements may therefore not be comparable to those of companies that comply with such new or revised accounting standards.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share price may be more volatile and may decline.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increased costs and demands on management resources as a result of operating as a public company.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public company, we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Regulations and standards relating to corporate governance and public disclosure, including the Sarbanes-Oxley Act, and the related rules and regulations implemented by the Securities and Exchange Commission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 cost. In the future, it may be more expensive or more difficult for us to obtain directors’ and officers’ liability insurance, and we may be required to accept reduced coverage or incur substantially higher costs to obtain coverage. These factors would also make it more difficult for us to attract and retain qualified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R&amp;M subsidiary, resulting in a series of adjustments, including controls and procedures:</w:t>
      </w:r>
    </w:p>
    <w:p>
      <w:pPr>
        <w:spacing w:after="0" w:line="91"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ensure journal entries are properly reviewed and approved;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ensure compliance with GAAP, specifically as it relates to accounting for revenue.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We completed our remediation efforts, including the testing of the operating effectiveness of the controls, and we have concluded that the material weakness has been remediated as of the end of fiscal 2025.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Section 404 of the Sarbanes-Oxley Act requires that we include a report of management on our internal control over financial reporting in our annual report on Form 10-K beginning with our second annual report.</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 We will be required to include a management’s report on internal control over financial reporting in our annual report on Form 10-K for the fiscal year ending January 31, 2027.</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Significant resources and management oversight are required now that we are a public company, and even more resources will be required once we are no longer an emerging growth company. As a result, management’s attention may be diverted from other business concerns, which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debt-service obligations may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multiple debt arrangements that are significant to our business, as described further under “Management’s Discussion and Analysis of Financial Condition and Results of Operations―Liquidity and Capital Resources―Debt Obligations.”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indebtedness, combined with our other financial obligations and contractual commitments, could have other important consequences. For example, it could:</w:t>
      </w:r>
    </w:p>
    <w:p>
      <w:pPr>
        <w:spacing w:after="0" w:line="136"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make us more vulnerable to adverse changes in general U.S. and worldwide economic, industry, and competitive conditions and adverse changes in government regulation;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limit our flexibility in planning for, or reacting to, changes in our business and our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place us at a disadvantage compared to our competitors that have less debt;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limit our ability to borrow additional amounts to fund acquisitions, for working capital, and for other general corporate purposes;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make an acquisition of our company less attractive or more difficult.</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covenants or other terms of these agreements, which has happened in the past or may occur in the future, and do not obtain a waiver from the lenders, then, subject to applicable cure periods, any outstanding indebtedness may be declared immediately due and payable. For additional information regarding the Warehouse Credit Facility (as defined in “Management’s Discussion and Analysis of Financial Condition and Results of Operations”), see Management’s Discussion and Analysis of Financial Condition and Results of Operations―Liquidity and Capital Resources―Debt Obligations—Warehouse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this capital might not be available on acceptable terms, if at all.</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were to incur additional debt, the debt holders would have rights senior to holders of Class A common stock to make claims on our assets, and the terms of any new debt could further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trading prices for technology companies have been and may continue to be highly volatile, including due to evolving artificial intelligence technologies, interest rate fluctuations, inflation, and the uncertain macroeconomic and geopolitical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may be volatile, and investors could lose all or part of their investment.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trading price of our Class A common stock could be subject to wide fluctuations in response to numerous factors in addition to the ones described in this “Risk Factors” section, many of which are beyond our control, including the following:</w:t>
      </w:r>
    </w:p>
    <w:p>
      <w:pPr>
        <w:spacing w:after="0" w:line="78"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actual or anticipated fluctuations in our GBV, payment volume, revenue, gross margins, and other results of operations as well as in demand for business travel;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actual or anticipated developments in the travel industry generally;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new or terminated significant contracts, commercial relationships or capital commitments;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investor sentiment regarding AI-related business models, our competitors, and our industry in general;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expiration of market standoff or contractual lock-up agreements and 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third-party proprietary rights;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or technologies by us or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effects of public health crises, pandemics, and epidemics;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sales or expectations with respect to sales of shares of our Class A common stock by us or our security holders;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general macroeconomic conditions, including rising interest rates, inflation, foreign currency fluctuation, instability in the global banking system, risks of economic recession, and slow or negative growth of our markets;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political unrest or instability;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 including the ongoing conflicts in Ukraine and the Middle East and tensions between China and Taiwan.</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For example, on February 23, 2026, a putative securities class action complaint was filed against us and our directors and certain of our current and former executive officers (collectively, the “Defendants”) in the U.S. District Court for the Northern District of California. The lawsuit alleges the Defendants violated the Securities Act by making materially false and misleading statements about our sales and marketing expenses in our IPO offering documents. Motions for the lead plaintiff are due April 24, 2026. This suit, or additional potential litigation, could result in substantial costs and divert our management’s attention and resources from our business. This could adversely affect our business, financial condition, results of operations, and prospects.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example, the significant number of shares underlying outstanding equity awards and shares reserved for future issuance under our 2025 Equity Incentive Plan (the “2025 Plan”) could result in substantial dilution if such awards are exercised or vested, which may adversely affect the market price of our Class A common stock. As of January 31, 2026, there were 48.6 million shares of Class A common stock issuable upon the exercise of outstanding stock options or subject to vesting of outstanding restricted stock units, or RSU, awards. We have registered all of the shares of Class A common stock issuable upon exercise of outstanding stock options and upon the settlement of RSU awards for public resale under the Securities Act. Accordingly, these shares are freely salable in the public market upon issuance subject to compliance with applicable securities laws. Including the aforementioned outstanding equity awards, as of January 31, 2026, there were approximately 37.8 million shares of common stock reserved and available for future issuance under the 2025 Plan which may become available for public resale to the extent we issue future equity incentive awards pursuant to these plans and such awards vest and are exercised or settle according to their terms.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March 30, 2026, the holders of 115,302,421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may also issue our shares of Class A common stock or securities convertible into shares of our Class A common stock from time to time in connection with a financing, acquisition, investment, or otherwise. If we are unable to effectively manage the risks relating to the price of our Class A common stock, our business, financial condition, results of operations, and prospects could be adversely affected.</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Class B common stock has 30 votes per share, and our Class A common stock, which is the stock we are have listed for trading on Nasdaq, has one vote per share. Our co-founders together hold all of the issued and outstanding shares of our Class B common stock. Accordingly, Ariel Cohen, our co-founder, Chief Executive Officer, and a member of our board of directors, currently holds, together with his affiliates, approximately 27% of the voting power of our outstanding capital stock; and Ilan Twig, our co-founder, Chief Technology Officer, and a member of our board of directors, currently holder, together with his affiliates, approximately 48% of the voting power of our outstanding capital stock, which voting power may increase over time upon the exercise or settlement and exchange of equity awards held by our co-founders pursuant to their equity exchange rights. Therefore, our co-founders, individually or together, are able to significantly influence matters submitted to our stockholders for approval, including the election of directors, amendments of our organizational documents and any merger, consolidation, sale of all or substantially all of our assets or other major corporate transactions. Additionally,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such that Mr. Cohen will have exclusive voting control over such shares, and such shares will remain as Class B common stock. Our co-founders, individually or together, may have interests that differ from those of our other stockholders and may vote in a way with which other stockholders disagree and which may be adverse to other stockholders’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Future transfers by the holders of Class B common stock will generally result in those shares automatically converting into shares of Class A common stock, subject to limited exceptions, such as certain transfers effected for estate planning. In addition, each outstanding share of Class B common stock will convert automatically into a share of Class A common stock upon the earliest to occur following this offering: (i) the date fixed by our board of directors that is no less than 61 days and no more than 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days following the first date following the completion of our IPO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our IPO; (ii) the last trading day of the fiscal year following the tenth anniversary of our IPO;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 on which Mr. Cohen is terminated for cause (as defined in our amended and restated certificate of incorporation); and (v) twelve months after Mr. Cohen’s death or disability (as defined in our amended and restated certificate of incorporation). If we are unable to effectively manage these risks, our business, financial condition, results of operations, and prospects could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dual class structure of our common stock may adversely affect the trading market for our Class A common stock.</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their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and notwithstanding our automatic termination provisions,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Investors’ expectations of our performance relating to environmental, social, and governance factors may impose additional costs and expose us to new risks.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trading market for our Class A common stock is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could in the future be, subject to securities class action litigation.</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the past, securities class action litigation has often been instituted against companies following periods of volatility in the market price of a company’s securities. For example, on February 23, 2026, a putative securities class action complaint was filed against us, our directors and certain of our current and former executive officers (collectively, the “Defendants”) in the U.S. District Court for the Northern District of California. The lawsuit alleges the Defendants violated the Securities Act by making materially false and misleading statements about our sales and marketing expenses in our IPO offering documents. Motions for the lead plaintiff are due April 24, 2026. This suit, or similar litigation, could result in substantial costs and a diversion of management’s attention and resources, which could adversely affect our business, financial condition, results of operations, and prospects.</w:t>
      </w: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Additionally, the dramatic increase in the cost of directors’ and officers’ liability insurance as a result of becoming a public company may cause us to opt for lower overall policy limits or to forgo insurance that we may otherwise rely on to cover significant defense costs, settlements, and damages awarded to plaintiffs.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“Management’s Discussion and Analysis of Financial Condition and Results of Operations―Liquidity and Capital Resources―Debt Obligations.”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Provisions in our amended and restated certificate of incorporation and amended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certificate of incorporation and amended and restated bylaws include provisions that:</w:t>
      </w:r>
    </w:p>
    <w:p>
      <w:pPr>
        <w:spacing w:after="0" w:line="136"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provide that our board of directors is classified into three classes of directors with staggered three-year terms;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permit our board of directors to establish the number of directors and fill any vacancies and newly created directorships;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require super-majority voting by our stockholders to amend some provisions in our amended and restated certificate of incorporation and amended and restated bylaws;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of directors could use to implement a stockholder rights plan;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only a majority of our board of directors will be authorized to call a special meeting of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 not provide for cumulative voting;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directors may only be removed “for cause” and only with the approval of at least 66 2/3% of the voting power of our then-outstanding capital stock;</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provide for a dual-class common stock structure in which holders of our Class B common stock may have the ability to significantly influence the outcome of matters requiring stockholder approval, including the election of directors and other significant corporate transactions, such as a merger or other sale of our company or its assets, even if they own significantly less than a majority of the outstanding shares of our common stock;</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board of directors is expressly authorized to make, alter, or repeal our bylaws;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establish advance-notice requirements for nominations for election to our board of directors or for proposing matters that can be acted upon by stockholders at annual stockholder meetings.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w:t>
      </w:r>
    </w:p>
    <w:p>
      <w:pPr>
        <w:spacing w:after="0" w:line="2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district courts of the United States will, to the fullest extent permitted by law, be the exclusive forum for resolving any complaint asserting a cause of action arising under the Securities Act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Our stockholders will not be deemed to have waived our compliance with the federal securities laws and the regulations promulgated thereunder.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conditions in our industry or the global economy could limit our ability to grow our business and negatively affect our results of operations.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be adversely affected by natural disasters, pandemics, cyberattacks and other catastrophic events, and by man-made problems such as terrorism, that could disrupt our business operations, and our business continuity and disaster recovery plans may not adequately protect us from a serious disaster.</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currency exchange rates fluctuate substantially in the future, the results of our operations, which are reported in U.S. dollars, could be adversely affected.</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 transactional and translational remeasurement that is reflected in our earnings. In addition, we incur expenses for employee compensation and other operating expenses at our non-U.S.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1C. CYBERSECURITY.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strategy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including information related to our customers (“Information Systems and Data”).</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a cross-functional team led by our Chief Information Security Officer (CISO) and comprised of members of our Security, Legal, Engineering, and Governance, Risk, and Compliance (GRC) departments to help identify, assess and manage the Company’s cybersecurity threats and risks. This team identifies and assesses risks from cybersecurity threats by monitoring and evaluating our threat environment and the Company’s risk profile using various methods including, for example by using manual tools, automated tools, subscribing to reports and services that identify cybersecurity threats, analyzing reports of threats and threat actors, conducting scans of our environment, evaluating our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industry’s risk profile and threats reported to us, conducting internal and external audits, conducting threat assessments and vulnerability assessments, referencing third party intelligence feeds, and conducting tabletop and other testing exercises.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Depending on the environment, we implement and maintain various technical, physical, and organizational measures, processes, standards and policies designed to manage and mitigate material risks from cybersecurity threats to our Information Systems and Data. For example, we have an incident response policy and incident response and detection capabilities, a vulnerability management policy, business continuity and disaster recovery plans, a vendor risk management program, and we maintain cyber insurance. We also conduct risk assessments, encrypt data at rest and in transit, implement network security controls, segregate data based on sensitivity, implement access controls, physical security controls, asset management and tracking, employee training, penetration testing, and use endpoint detection and response tools and data loss prevention tools.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assessment and management of material risks from cybersecurity threats are integrated into the Company’s overall risk management processes. For example, (1) cybersecurity risk is addressed as a component of the Company’s enterprise risk management program through our GRC department and is reviewed as part of our risk committee meetings comprised of key senior management; (2) our CISO works with management to prioritize our risk management processes and mitigate cybersecurity threats that are more likely to lead to a material impact to our business; (3) our CISO evaluates material risks from cybersecurity threats against our overall business objectives and reports to the audit committee of the board of directors, which evaluates our overall enterprise risk.</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use third-party service providers to assist us from time to time to identify, assess, and manage material risks from cybersecurity threats, including for example automated cloud security scanning, threat intelligence providers, software providers, penetration testing firms, code security scanning, and dark web monitoring services.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use third-party service providers to perform a variety of functions throughout our business, application providers, hosting companies, supply chain resources, payment providers, and travel and hospitality providers. We have a vendor management program to manage cybersecurity risks associated with our use of these providers. The program includes risk assessments for vendors, security questionnaires, a review of a vendor’s written information security program and associated audit and compliance documentation, audits of the vendor if needed, vulnerability scans of the vendor in certain circumstances, and in certain cases, security assessment calls with the vendor. We also impose certain contractual obligations related to cybersecurity on certain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a description of the risks from cybersecurity threats that may materially affect the Company and how they may do so, see the section titled “Risk Factors,” including “Risk Factors—Risks Related to Privacy, Cybersecurity, and Intellectual Property—We,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cybersecurity risk assessment and management processes are designed, implemented and maintained by certain Company management, specifically our CISO, who has 25 years of technical, senior engineering and product management experience and was previously the Executive Vice President of Security at Salesforce and CISO at Tesla and Vimeo, and our Director of Governance, Risk and Compliance, who has two decades of experience in GRC programs and relevant cybersecurity certifications.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CISO is responsible for hiring appropriate personnel, helping to integrate cybersecurity risk considerations into the Company’s overall risk management strategy, and communicating key priorities to relevant personnel. Our CISO is also responsible for approving budgets, helping prepare for cybersecurity incidents, approving cybersecurity processes, and reviewing security assessments and other security-related reports. Our Director of GRC is responsible for leading security compliance, risk management, and third party governance and trust functions across our enterprise.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cybersecurity incident response and vulnerability management processes are designed to escalate certain cybersecurity incidents to members of management depending on the circumstances, including the CISO, CEO, COO, and other executive staff members. The CISO, CEO, COO, and other executive staff members work with the Company’s incident response team to help the Company mitigate and remediate cybersecurity incidents of which they are notified. In addition, the Company’s incident response and vulnerability management processes include reporting to the audit committee of the board of directors for certain cybersecurity incidents.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audit committee receives periodic reports from our CISO concerning the Company’s significant cybersecurity threats and risk and the processes the Company has implemented to address them. The audit committee also has access to various reports, summaries or presentations related to cybersecurity threats, risk and mitigation. The chair of our audit committee has extensive experience serving as an executive officer and director of public and private technology companies providing oversight of cybersecurity risk.</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corporate headquarters are located in Palo Alto, California, where we lease approximately 31,500 square feet of office space pursuant to a lease that will expire in 2032. In addition, we lease office space in the United States in San Francisco, California; Coppell and Austin, Texas; New York City, New York; Boston, Massachusetts; and internationally, including in London, Paris, Berlin, Lisbon, United Arab Emirates, Israel, India and Australia, which we use for operations, sales, and engineering, as applicable.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intend to procure additional space in the future as we continue to add employees and expand geographically. We believe that our current facilities are adequate to meet our current needs and that, should it be needed, suitable additional or alternative space will be available to accommodate our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information required to be set forth under this Item 3 is incorporated by reference to Note 13 —Commitments and Contingencies — Litigation in the notes to the Consolidated Financial Statements included in Part II, Item 8 of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TO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for Common Stock</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Class A common stock has been listed on the Nasdaq Global Select Market under the symbol “NAVN” since October 30, 2025. Prior to that date, there was no public trading market for our Class A stock. Our Class B common stock is neither listed nor publicly traded.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March 30, 2026 there were 136 holders of record of our Class A common stock. The actual number of stockholders is greater than this number of record holders and includes an indeterminate number of stockholders who are beneficial owners but whose shares are held in street name by brokers and other nominees.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As of March 30, 2026 there were 10 holders of record of our Class B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and future earnings and do not anticipate declaring or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Equity Securities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From February 1, 2025 to October 30, 2025 (the date of the filing of our registration statement on Form S-8, File No. 333-291159), we issued and sold to our directors, officers, employees, consultants and other service providers an aggregate of 2.9 million shares of our common stock upon the exercise of stock options under our 2015 Equity Incentive Plan (the “2015 Plan”), at exercise prices ranging from $0.03 to $20.73 per share, for an aggregate purchase price of $23.7 million, and we issued an aggregate of 0.9 million shares of our Class A common stock upon the settlement of RSUs under our 2015 Plan.</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From February 1, 2025 to October 30, 2025 (the date of the filing of our registration statement on Form S-8, File No. 333-291159), we granted to our directors, officers, employees, consultants and other service providers an aggregate of 2.9 million shares of our Class A common stock to be issued upon the exercise of stock options and 5.5 million RSUs to be settled in shares of our Class A common stock under our 2015 Plan. During the same period, we also granted to our directors, officers, employees, consultants and other service providers an aggregate of 0.7 million shares of our Class A common stock to be issued upon the exercise of stock options under our 2025 Equity Incentive Plan.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February and April 2025, we entered into simple agreements for future equity (“SAFEs”) with multiple investors in exchange for cash proceeds of $155.0 million. The SAFEs had an interest rate of 12% per annum. We issued common stock warrants to investors together with the SAFEs. The number of shares issuable upon exercise of the common stock warrants was determined based on a fixed percentage of the fully diluted capitalization prior to the earliest to occur of (i) a deemed liquidation event, (ii) a liquidity event, and (iii) the date of exercise. On October 31, 2025 in connection with the completion of the IPO, pursuant to their terms, the SAFEs automatically converted into 7,851,008 shares of our Class A common stock at a 15% discount to the IPO price per share. Also on October 31, 2025 in connection with the completion of the IPO, the SAFE warrants were exercised for 1,216,187 shares of Class A common stock at an exercise price of $0.03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October 31, 2025 in connection with the completion of the IPO, previously issued convertible notes of $125.0 million in aggregate principal amount together with accrued interest, for a total of $208.5 million, automatically converted pursuant to their terms into 12,827,963 shares of Class A common stock at a 35% discount to the IPO price per share.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October 31, 2025 in connection with the completion of the IPO, we issued 486,005 shares of Class A common stock to VCP Capital Markets, LLC upon the net exercise of warrants for an exercise price of $0.03 per share. We issued the warrants in February 2025 in connection with the Vista Facility (as defined within Note 8 — Debt in the notes to the consolidated financial statements included elsewhere in this Annual Report on Form 10-K).</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November 2025, we issued 40,160 shares of Class A common stock to Comerica Ventures Incorporated upon the exercise of its outstanding warrants for an exercise price of $1.87 per share. The warrants were initially issued on Series B redeemable convertible preferred stock, and were automatically converted to Class A common stock upon the closing of the IPO on October 31, 2025.</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 The offers, sales, and issuances of the securities described above were deemed to be exempt from registration under Section 4(a)(2) of the Securities Act as transactions by an issuer not involving a public offering.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October 31, 2025, we completed our IPO in which we registered and sold an aggregate of 30,000,000 shares of our Class A common stock for our account, and we registered an aggregate of 6,924,406 shares of our Class A common stock that certain selling stockholders sold for their accounts. Our shares of Class A common stock were sold at an initial public offering price of $25.00 per share, which generated aggregate gross proceeds of $750.0 million for our account and $173.1 million for the accounts of the selling stockholders. Goldman Sachs &amp; Co. LLC and Citigroup Global Markets Inc. acted as representatives of the underwriters for the IPO.</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received net proceeds of $713.3 million net of underwriting discounts, and before deducting offering costs of $9.3 million. No payments for such expenses were made directly or indirectly to (i) any of our officers or directors or their associates, (ii) any persons owning 10% or more of any class of our equity securities, or (iii) any of our affiliates. We used $133.7 million of proceeds from our IPO to extinguish the Vista Facility and $17.7 million of proceeds to satisfy a portion of our tax withholding and remittance obligations related to the vesting and settlement of certain RSUs that we had granted, which included an aggregate of $ 4.3 million of such proceeds used for the withholding from delivery of shares of our Class A common stock to satisfy the tax withholding obligations of certain of our directors and officers upon the vesting and/or settlement of certain RSUs held by them. The remaining proceeds will be used for working capital and other general corporate purposes, which may include product and platform development, general and administrative matters, and capital expenditures. We may also use a portion of these remaining net proceeds for the acquisition of, or investment in, technologies, solutions, or businesses that complement our business. There has been no material change in the expected use of the net proceeds from our IPO as described in the prospectus included in the IPO Registration Statement.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performance graph shall not be deemed “filed” with the SEC for purposes of Section 18 of the Exchange Act or incorporated by reference into any filing of Navan, Inc. under the Securities Act.</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graph below compares the cumulative three-month total stockholder return on our Class A common stock with the cumulative total return on the Standard &amp; Poor’s 500 Index (“S&amp;P 500”), the S&amp;P 500 Information Technology Index (“S&amp;P 500 IT”) and the Nasdaq Composite Index (“NASDAQ”). The graph tracks the performance of a $100 investment in our Class A common stock and in each index from October 30, 2025 (the date our Class A common stock commenced trading on Nasdaq) to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2026. Data for the S&amp;P 500 Index and the S&amp;P 500 Information Technology Index assume reinvestment of dividends. The returns shown are based on historical results and are not intended to suggest future performance.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95885</wp:posOffset>
            </wp:positionV>
            <wp:extent cx="4204335" cy="2324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0433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38"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following discussion and analysis of our financial condition and results of operations should be read in conjunction with our consolidated financial statements and related notes included elsewhere in this Annual Report on Form 10-K.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Annual Report on Form 10-K. Our historical results are not necessarily indicative of the results that may be expected for any period in the future. Discussion regarding our financial condition and results of operations for the fiscal year ended January 31, 2025 compared to the fiscal year ended January 31, 2024 can be found in “Management's Discussion and Analysis of Financial Condition and Results of Operations” in our </w:t>
      </w:r>
      <w:hyperlink r:id="rId95">
        <w:r>
          <w:rPr>
            <w:rFonts w:ascii="Arial" w:cs="Arial" w:eastAsia="Arial" w:hAnsi="Arial"/>
            <w:sz w:val="14"/>
            <w:szCs w:val="14"/>
            <w:i w:val="1"/>
            <w:iCs w:val="1"/>
            <w:u w:val="single" w:color="auto"/>
            <w:color w:val="0000FF"/>
          </w:rPr>
          <w:t>final prospectus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our initial public offering (“IPO”), dated October 29, 2025, filed with the Securities and Exchange Commission on October 31, 2025, which is incorporated herein by reference.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Navan is a global AI-powered business travel and expense platform that makes travel easy for frequent travelers. Since our inception, we have leveraged technology to reimagine business travel. We built a comprehensive platform that serves as the foundation for further disruption. We deliver personalized experiences for users, efficiency and control for customers, and direct market access for suppliers — all powered by our proprietary AI framework, Navan Cognition.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We generate revenue on a usage or subscription basis from the following:</w:t>
      </w:r>
    </w:p>
    <w:p>
      <w:pPr>
        <w:spacing w:after="0" w:line="136" w:lineRule="exact"/>
        <w:rPr>
          <w:sz w:val="20"/>
          <w:szCs w:val="20"/>
          <w:color w:val="auto"/>
        </w:rPr>
      </w:pPr>
    </w:p>
    <w:p>
      <w:pPr>
        <w:jc w:val="both"/>
        <w:ind w:left="520" w:hanging="260"/>
        <w:spacing w:after="0" w:line="265"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Customers: </w:t>
      </w:r>
      <w:r>
        <w:rPr>
          <w:rFonts w:ascii="Arial" w:cs="Arial" w:eastAsia="Arial" w:hAnsi="Arial"/>
          <w:sz w:val="14"/>
          <w:szCs w:val="14"/>
          <w:color w:val="auto"/>
        </w:rPr>
        <w:t>Our customers include companies and organizations that contract with us to provide their employees (our users) with access to our Travel offerings or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offering. We typically enter into annual or multi-year contracts whereby customers pay a per-trip or per-transaction fee for access to our Travel offering or on-demand Travel Management offerings (our VIP, Meetings and Events, and Bleisure offerings) and pay an annual subscription fee for access to our Expense Management offering.</w:t>
      </w:r>
    </w:p>
    <w:p>
      <w:pPr>
        <w:spacing w:after="0" w:line="9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Suppliers: </w:t>
      </w:r>
      <w:r>
        <w:rPr>
          <w:rFonts w:ascii="Arial" w:cs="Arial" w:eastAsia="Arial" w:hAnsi="Arial"/>
          <w:sz w:val="14"/>
          <w:szCs w:val="14"/>
          <w:color w:val="auto"/>
        </w:rPr>
        <w:t>Our suppliers include airlines, hotels, rental car companies, rail carriers, providers of global distribution systems (“GDS”), and travel inventory providers. We earn</w:t>
      </w:r>
      <w:r>
        <w:rPr>
          <w:rFonts w:ascii="Arial" w:cs="Arial" w:eastAsia="Arial" w:hAnsi="Arial"/>
          <w:sz w:val="14"/>
          <w:szCs w:val="14"/>
          <w:i w:val="1"/>
          <w:iCs w:val="1"/>
          <w:color w:val="auto"/>
        </w:rPr>
        <w:t xml:space="preserve"> </w:t>
      </w:r>
      <w:r>
        <w:rPr>
          <w:rFonts w:ascii="Arial" w:cs="Arial" w:eastAsia="Arial" w:hAnsi="Arial"/>
          <w:sz w:val="14"/>
          <w:szCs w:val="14"/>
          <w:color w:val="auto"/>
        </w:rPr>
        <w:t>revenue from our suppliers in the form of commissions based on the dollar volume of bookings made by users on our platform and a commission rate for each supplier.</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Payment partners: </w:t>
      </w:r>
      <w:r>
        <w:rPr>
          <w:rFonts w:ascii="Arial" w:cs="Arial" w:eastAsia="Arial" w:hAnsi="Arial"/>
          <w:sz w:val="14"/>
          <w:szCs w:val="14"/>
          <w:color w:val="auto"/>
        </w:rPr>
        <w:t>Our payment partners primarily include corporate card payment processors and card issuing partners. We earn revenue from our payment partners from</w:t>
      </w:r>
      <w:r>
        <w:rPr>
          <w:rFonts w:ascii="Arial" w:cs="Arial" w:eastAsia="Arial" w:hAnsi="Arial"/>
          <w:sz w:val="14"/>
          <w:szCs w:val="14"/>
          <w:i w:val="1"/>
          <w:iCs w:val="1"/>
          <w:color w:val="auto"/>
        </w:rPr>
        <w:t xml:space="preserve"> </w:t>
      </w:r>
      <w:r>
        <w:rPr>
          <w:rFonts w:ascii="Arial" w:cs="Arial" w:eastAsia="Arial" w:hAnsi="Arial"/>
          <w:sz w:val="14"/>
          <w:szCs w:val="14"/>
          <w:color w:val="auto"/>
        </w:rPr>
        <w:t>fees based on the dollar volume of spend on our corporate cards.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Initial Public Offering</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October 31, 2025, we completed our initial public offering (the “IPO”) in which we issued and sold 30,000,000 shares of our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We did not receive any proceeds from the sale of Class A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January 31,</w:t>
            </w: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2025 to 2026</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2024 to 2025</w:t>
            </w:r>
          </w:p>
        </w:tc>
      </w:tr>
      <w:tr>
        <w:trPr>
          <w:trHeight w:val="150"/>
        </w:trPr>
        <w:tc>
          <w:tcPr>
            <w:tcW w:w="3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rPr>
              <w:t>% Growth</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rPr>
              <w:t>% Growth</w:t>
            </w:r>
          </w:p>
        </w:tc>
      </w:tr>
      <w:tr>
        <w:trPr>
          <w:trHeight w:val="182"/>
        </w:trPr>
        <w:tc>
          <w:tcPr>
            <w:tcW w:w="3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380"/>
              <w:spacing w:after="0"/>
              <w:rPr>
                <w:sz w:val="20"/>
                <w:szCs w:val="20"/>
                <w:color w:val="auto"/>
              </w:rPr>
            </w:pPr>
            <w:r>
              <w:rPr>
                <w:rFonts w:ascii="Arial" w:cs="Arial" w:eastAsia="Arial" w:hAnsi="Arial"/>
                <w:sz w:val="11"/>
                <w:szCs w:val="11"/>
                <w:b w:val="1"/>
                <w:bCs w:val="1"/>
                <w:color w:val="auto"/>
              </w:rPr>
              <w:t>(dollars in billions)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booking volume (GBV)</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r>
      <w:tr>
        <w:trPr>
          <w:trHeight w:val="186"/>
        </w:trPr>
        <w:tc>
          <w:tcPr>
            <w:tcW w:w="3380" w:type="dxa"/>
            <w:vAlign w:val="bottom"/>
          </w:tcPr>
          <w:p>
            <w:pPr>
              <w:ind w:left="20"/>
              <w:spacing w:after="0"/>
              <w:rPr>
                <w:sz w:val="20"/>
                <w:szCs w:val="20"/>
                <w:color w:val="auto"/>
              </w:rPr>
            </w:pPr>
            <w:r>
              <w:rPr>
                <w:rFonts w:ascii="Arial" w:cs="Arial" w:eastAsia="Arial" w:hAnsi="Arial"/>
                <w:sz w:val="14"/>
                <w:szCs w:val="14"/>
                <w:color w:val="auto"/>
              </w:rPr>
              <w:t>Payment volume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Booking Volume (GBV)</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 Volume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define payment volume as the aggregate dollar amount of spend through Navan issued cards, settled for a given period and net of any chargebacks, cancellations, or refunds.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payment volume grows as we increase adoption and usage of our Corporate Payments offering, where we support and issue our own cards.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Acquiring New Customers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believe there is substantial opportunity to continue to grow our customer base across both the managed and unmanaged categories, as well as across both our direct sales-led growth (“SLG”) channel (in which qualified sales professionals actively identify, engage, and support prospective customers through the evaluation and purchasing process) and our product-led growth (“PLG”) channel (in which our platform and our suite of offerings serve as the primary drivers of customer acquisition, expansion, and retention). As such, we will continue to invest in sales and marketing to drive awareness of our platform in order to continue adding new customers.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Expanding Within our Existing Customer Base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 VIP, and Bleisure. This added value for customers also benefits our own financial performance.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Sustaining Innovation and Leadership</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success is dependent on our ability to sustain our leadership in innovation and technology. We have invested heavily in building out Navan Cloud, our global infrastructure, which is designed to enable the delivery of a wide range of travel content to our customers. We intend to continue investing in our infrastructure to ensure that our customers have a broad array of options and choices when using our platform.</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further enhance customer choice and flexibility, we developed Navan Connect, which allows customers to integrate their existing systems and preferences and offers actionable real-time visibility and policy enforcement for business expense management. While Connect does not itself generate revenue for Navan, we believe the flexibility it offers our customers helps drive easier and faster adoption of our Expense Management offering.</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also invested significantly in AI to help make every step of the pre-booking,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provide a high level of service to customers for their basic needs and reserve agent time for more critical or complex customer service situations.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Edge, which is powered by Navan Cognition and designed to redefine how travelers book, modify, and manage trips on the go via their mobile devices.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Expand Organically and Inorganically</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a highly successful track record of organic and inorganic investments and may consider additional strategic acquisition opportunities. We have previously executed and integrated multiple acquisitions, including Reed &amp; Mackay (“R&amp;M”), expanding our geographic footprint and strengthening our offering capabilities across core markets. Historically, inorganic growth efforts have focused on expanding international presence, deepening supply relationships, and extending our presence in key regions. These acquisitions have accelerated our growth, enhanced localization, and enabled the company to serve a broader spectrum of enterprise customers with differentiated offerings tailored to regional travel and compliance needs. We may continue to make strategic acquisitions and other investments that allow us to further strengthen our platform, accelerate growth, and improve our offerings to best serve our diverse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Reed &amp; Mackay Customer Transition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2021, we acquired R&amp;M, a UK-based travel management company to expand our international presence and global service offerings to meet the needs of customers requiring a white-glove travel management service model. In January 2026, we announced that we will begin unifying our services under the Navan brand, which involves transitioning existing customers of our R&amp;M service model to the Navan technology platform and, effective immediately, retiring the R&amp;M brand for the purposes of new sales opportunities and conducting all new travel sales under a single unified Navan brand. During and subsequent to the transition, customers will continue to receive the same premium level of service they value today.</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While overall customer retention has been and continues to be strong, uncertainty exists as it relates to the degree to which the transition to the Navan technology platform will impact our relationships with existing customers of the R&amp;M service model. For more information, see the section titled “Risk Factors—Risks Related to Our Business and Industry —We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result of the retirement of the R&amp;M brand, we have reassessed the remaining useful life of the R&amp;M trade name intangible asset recognized upon acquisition and fully recognized the remaining $36.2 million of amortization expense related to this asset in January 2026. Please refer to Note 7 ― Goodwill and Other Intangible Assets in the notes to the consolidated financial statements included elsewhere in this report for further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 and Travel Demand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generally experience seasonality in our revenue, primarily related to seasonal travel trends of business travelers. As revenue is driven by travel volume,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We categorize revenue earned as (i) usage-based revenue, which primarily represents fees from our platform customers earned on a per-booking transaction basis and fees from our travel supply and payment partners, which are generally earned on a per-transaction basis, and (ii) subscription revenue, which primarily represents revenue earned from subscriptions to our expense management platform. Under arrangements with certain suppliers, we earn additional fees when cumulative actual booking or transaction dollar volume exceeds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specified contractual thresholds. Our suppliers include airlines, hotels, car rental companies, rail carriers, and providers of GDSs. Our payment partners primarily include our corporate card payment processors and card issuing partners.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Excluding the impact from stock-based compensation expense incurred in connection with our IPO, we expect that our cost of revenue may fluctuate as a percentage of our revenue from period to period depending on revenue seasonality or other factors impacting revenue, and to decline as a percentage of revenue over the long term.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Excluding the impact from stock-based compensation expense incurred in connection with our IPO, we expect that research and development expenses may fluctuate as a percentage of our revenue from period to period depending on the timing of these expenses or other factors impacting revenue, and to decline as a percentage of revenue over the long term.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 Expenses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the near term, we expect that our sales and marketing expenses will increase in absolute dollars as we continue to invest in our sales and marketing organization to drive continued adoption of our platform. Excluding the impact from stock-based compensation expense incurred in connection with our IPO, we expect that sales and marketing expenses may fluctuate as a percentage of our revenue from period to period depending on the timing of these expenses or other factors impacting revenue, and to decline as a percentage of revenue over the long term.</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 and administrative expenses are expensed as incurred. Excluding the impact from stock-based compensation expense incurred in connection with our IPO, we expect to increase the size of our general and administrative function to support the growth of our business.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 ended January 31, 2026, we recognized a one-time cumulative charge of $81.8 million of stock-based compensation expense across our cost of revenue and operating expenses associated with the satisfaction of the performance-based vesting condition for outstanding RSUs for which the service-based vesting conditions were fully or partially satisfied upon the IPO.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primarily relates to interest expense on our borrowings, including amortization of debt discount and issuance costs related to our outstanding debt.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Other income (expense), net primarily consists of interest income earned on cash, cash equivalents and short-term investments, including the amortization of premiums and accretion of discounts related to our marketable debt securities, net realized gains and losses on sales of investments, foreign exchange gains and losses, and other non-operating gains and losses.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on Extinguishment of Debt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Loss on extinguishment of debt consists of losses incurred on the extinguishment of debt instruments.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(Loss) on Fair Value Adjustments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Gain (loss) on fair value adjustments primarily consists of gains and losses as a result of recording our SAFEs, embedded derivative and warrant liabilities at fair value at the end of each reporting period.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Income tax expense primarily consists of income taxes in certain federal, state, and foreign jurisdictions in which we conduct business. We maintain a full valuation allowance against our U.S. federal, certain states, and certain foreign deferred tax assets, as we have concluded that it is not more likely than not that these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consolidated statements of operations data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60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93"/>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2024</w:t>
            </w:r>
          </w:p>
        </w:tc>
      </w:tr>
      <w:tr>
        <w:trPr>
          <w:trHeight w:val="182"/>
        </w:trPr>
        <w:tc>
          <w:tcPr>
            <w:tcW w:w="6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 thousands)</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536,837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402,256</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201,794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169,815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162,622</w:t>
            </w:r>
          </w:p>
        </w:tc>
      </w:tr>
      <w:tr>
        <w:trPr>
          <w:trHeight w:val="171"/>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367,022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239,634</w:t>
            </w: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122,386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132,442</w:t>
            </w:r>
          </w:p>
        </w:tc>
      </w:tr>
      <w:tr>
        <w:trPr>
          <w:trHeight w:val="180"/>
        </w:trPr>
        <w:tc>
          <w:tcPr>
            <w:tcW w:w="608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342,667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218,722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220,511</w:t>
            </w: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203,444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133,552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133,023</w:t>
            </w:r>
          </w:p>
        </w:tc>
      </w:tr>
      <w:tr>
        <w:trPr>
          <w:trHeight w:val="17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697,348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474,660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485,976</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(196,877)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(107,638)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(246,342)</w:t>
            </w:r>
          </w:p>
        </w:tc>
      </w:tr>
      <w:tr>
        <w:trPr>
          <w:trHeight w:val="180"/>
        </w:trPr>
        <w:tc>
          <w:tcPr>
            <w:tcW w:w="60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(51,299)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(75,997)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(63,281)</w:t>
            </w: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w:t>
            </w:r>
          </w:p>
        </w:tc>
      </w:tr>
      <w:tr>
        <w:trPr>
          <w:trHeight w:val="180"/>
        </w:trPr>
        <w:tc>
          <w:tcPr>
            <w:tcW w:w="608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1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(117,978)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(loss) on fair value adjustments</w:t>
            </w:r>
          </w:p>
        </w:tc>
        <w:tc>
          <w:tcPr>
            <w:tcW w:w="10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(47,041)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(26,594)</w:t>
            </w: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color w:val="auto"/>
              </w:rPr>
              <w:t>Loss before income tax expense</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(171,508)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(326,124)</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5,428</w:t>
            </w: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(398,030)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(181,078)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(331,552)</w:t>
            </w:r>
          </w:p>
        </w:tc>
      </w:tr>
      <w:tr>
        <w:trPr>
          <w:trHeight w:val="20"/>
        </w:trPr>
        <w:tc>
          <w:tcPr>
            <w:tcW w:w="60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5"/>
        </w:trPr>
        <w:tc>
          <w:tcPr>
            <w:tcW w:w="9600" w:type="dxa"/>
            <w:vAlign w:val="bottom"/>
            <w:gridSpan w:val="7"/>
          </w:tcPr>
          <w:p>
            <w:pPr>
              <w:spacing w:after="0"/>
              <w:rPr>
                <w:sz w:val="20"/>
                <w:szCs w:val="20"/>
                <w:color w:val="auto"/>
              </w:rPr>
            </w:pPr>
            <w:r>
              <w:rPr>
                <w:rFonts w:ascii="Arial" w:cs="Arial" w:eastAsia="Arial" w:hAnsi="Arial"/>
                <w:sz w:val="14"/>
                <w:szCs w:val="14"/>
                <w:color w:val="auto"/>
              </w:rPr>
              <w:t>Stock-based compensation is included in the following components of expenses within the consolidated statements of operations: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6"/>
        </w:trPr>
        <w:tc>
          <w:tcPr>
            <w:tcW w:w="60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0"/>
        </w:trPr>
        <w:tc>
          <w:tcPr>
            <w:tcW w:w="60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93"/>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2024</w:t>
            </w:r>
          </w:p>
        </w:tc>
      </w:tr>
      <w:tr>
        <w:trPr>
          <w:trHeight w:val="182"/>
        </w:trPr>
        <w:tc>
          <w:tcPr>
            <w:tcW w:w="6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 thousands)</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w:t>
            </w: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49,142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30,408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27,039</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15,872</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24,919</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28,189</w:t>
            </w:r>
          </w:p>
        </w:tc>
      </w:tr>
      <w:tr>
        <w:trPr>
          <w:trHeight w:val="196"/>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stock-based compensation expense</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182,089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76,981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75,851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consolidated statements of operations data expressed as a percentage of revenue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1"/>
                <w:szCs w:val="11"/>
                <w:b w:val="1"/>
                <w:bCs w:val="1"/>
                <w:color w:val="auto"/>
              </w:rPr>
              <w:t>Year Ended January 31,</w:t>
            </w:r>
          </w:p>
        </w:tc>
        <w:tc>
          <w:tcPr>
            <w:tcW w:w="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r>
      <w:tr>
        <w:trPr>
          <w:trHeight w:val="150"/>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bottom w:val="single" w:sz="8" w:color="auto"/>
            </w:tcBorders>
            <w:gridSpan w:val="2"/>
          </w:tcPr>
          <w:p>
            <w:pPr>
              <w:jc w:val="right"/>
              <w:ind w:right="674"/>
              <w:spacing w:after="0"/>
              <w:rPr>
                <w:sz w:val="20"/>
                <w:szCs w:val="20"/>
                <w:color w:val="auto"/>
              </w:rPr>
            </w:pPr>
            <w:r>
              <w:rPr>
                <w:rFonts w:ascii="Arial" w:cs="Arial" w:eastAsia="Arial" w:hAnsi="Arial"/>
                <w:sz w:val="11"/>
                <w:szCs w:val="11"/>
                <w:b w:val="1"/>
                <w:bCs w:val="1"/>
                <w:color w:val="auto"/>
              </w:rPr>
              <w:t>2024</w:t>
            </w:r>
          </w:p>
        </w:tc>
      </w:tr>
      <w:tr>
        <w:trPr>
          <w:trHeight w:val="182"/>
        </w:trPr>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rPr>
              <w:t>(as a percent of revenue)</w:t>
            </w:r>
            <w:r>
              <w:rPr>
                <w:rFonts w:ascii="Arial" w:cs="Arial" w:eastAsia="Arial" w:hAnsi="Arial"/>
                <w:sz w:val="14"/>
                <w:szCs w:val="14"/>
                <w:b w:val="1"/>
                <w:bCs w:val="1"/>
                <w:color w:val="auto"/>
                <w:vertAlign w:val="superscript"/>
              </w:rPr>
              <w:t>(1)</w:t>
            </w: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40</w:t>
            </w:r>
          </w:p>
        </w:tc>
      </w:tr>
      <w:tr>
        <w:trPr>
          <w:trHeight w:val="171"/>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rPr>
              <w:t>60</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rPr>
              <w:t>33</w:t>
            </w:r>
          </w:p>
        </w:tc>
      </w:tr>
      <w:tr>
        <w:trPr>
          <w:trHeight w:val="180"/>
        </w:trPr>
        <w:tc>
          <w:tcPr>
            <w:tcW w:w="468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jc w:val="right"/>
              <w:ind w:right="114"/>
              <w:spacing w:after="0"/>
              <w:rPr>
                <w:sz w:val="20"/>
                <w:szCs w:val="20"/>
                <w:color w:val="auto"/>
              </w:rPr>
            </w:pPr>
            <w:r>
              <w:rPr>
                <w:rFonts w:ascii="Arial" w:cs="Arial" w:eastAsia="Arial" w:hAnsi="Arial"/>
                <w:sz w:val="14"/>
                <w:szCs w:val="14"/>
                <w:color w:val="auto"/>
              </w:rPr>
              <w:t>55</w:t>
            </w:r>
          </w:p>
        </w:tc>
      </w:tr>
      <w:tr>
        <w:trPr>
          <w:trHeight w:val="180"/>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4"/>
                <w:szCs w:val="14"/>
                <w:color w:val="auto"/>
              </w:rPr>
              <w:t>33</w:t>
            </w: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w:t>
            </w: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121</w:t>
            </w: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(61)</w:t>
            </w:r>
          </w:p>
        </w:tc>
      </w:tr>
      <w:tr>
        <w:trPr>
          <w:trHeight w:val="180"/>
        </w:trPr>
        <w:tc>
          <w:tcPr>
            <w:tcW w:w="46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jc w:val="right"/>
              <w:ind w:right="74"/>
              <w:spacing w:after="0"/>
              <w:rPr>
                <w:sz w:val="20"/>
                <w:szCs w:val="20"/>
                <w:color w:val="auto"/>
              </w:rPr>
            </w:pPr>
            <w:r>
              <w:rPr>
                <w:rFonts w:ascii="Arial" w:cs="Arial" w:eastAsia="Arial" w:hAnsi="Arial"/>
                <w:sz w:val="14"/>
                <w:szCs w:val="14"/>
                <w:color w:val="auto"/>
              </w:rPr>
              <w:t>(16)</w:t>
            </w:r>
          </w:p>
        </w:tc>
      </w:tr>
      <w:tr>
        <w:trPr>
          <w:trHeight w:val="180"/>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rPr>
              <w:t>3</w:t>
            </w:r>
          </w:p>
        </w:tc>
      </w:tr>
      <w:tr>
        <w:trPr>
          <w:trHeight w:val="180"/>
        </w:trPr>
        <w:tc>
          <w:tcPr>
            <w:tcW w:w="468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80" w:type="dxa"/>
            <w:vAlign w:val="bottom"/>
          </w:tcPr>
          <w:p>
            <w:pPr>
              <w:jc w:val="right"/>
              <w:ind w:right="114"/>
              <w:spacing w:after="0"/>
              <w:rPr>
                <w:sz w:val="20"/>
                <w:szCs w:val="20"/>
                <w:color w:val="auto"/>
              </w:rPr>
            </w:pPr>
            <w:r>
              <w:rPr>
                <w:rFonts w:ascii="Arial" w:cs="Arial" w:eastAsia="Arial" w:hAnsi="Arial"/>
                <w:sz w:val="14"/>
                <w:szCs w:val="14"/>
                <w:color w:val="auto"/>
              </w:rPr>
              <w:t>—</w:t>
            </w:r>
          </w:p>
        </w:tc>
      </w:tr>
      <w:tr>
        <w:trPr>
          <w:trHeight w:val="180"/>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(loss) on fair value adjustments</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tcBorders>
              <w:bottom w:val="single" w:sz="8" w:color="auto"/>
            </w:tcBorders>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(7)</w:t>
            </w: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before income tax expense</w:t>
            </w: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color w:val="auto"/>
              </w:rPr>
              <w:t>(81)</w:t>
            </w: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rPr>
              <w:t>1</w:t>
            </w:r>
          </w:p>
        </w:tc>
      </w:tr>
      <w:tr>
        <w:trPr>
          <w:trHeight w:val="186"/>
        </w:trPr>
        <w:tc>
          <w:tcPr>
            <w:tcW w:w="4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(82)%</w:t>
            </w:r>
          </w:p>
        </w:tc>
      </w:tr>
      <w:tr>
        <w:trPr>
          <w:trHeight w:val="207"/>
        </w:trPr>
        <w:tc>
          <w:tcPr>
            <w:tcW w:w="4680" w:type="dxa"/>
            <w:vAlign w:val="bottom"/>
          </w:tcPr>
          <w:p>
            <w:pPr>
              <w:spacing w:after="0"/>
              <w:rPr>
                <w:sz w:val="20"/>
                <w:szCs w:val="20"/>
                <w:color w:val="auto"/>
              </w:rPr>
            </w:pPr>
            <w:r>
              <w:rPr>
                <w:rFonts w:ascii="Arial" w:cs="Arial" w:eastAsia="Arial" w:hAnsi="Arial"/>
                <w:sz w:val="13"/>
                <w:szCs w:val="13"/>
                <w:color w:val="auto"/>
              </w:rPr>
              <w:t>________________</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67"/>
        </w:trPr>
        <w:tc>
          <w:tcPr>
            <w:tcW w:w="4680" w:type="dxa"/>
            <w:vAlign w:val="bottom"/>
          </w:tcPr>
          <w:p>
            <w:pPr>
              <w:ind w:left="260"/>
              <w:spacing w:after="0"/>
              <w:rPr>
                <w:sz w:val="20"/>
                <w:szCs w:val="20"/>
                <w:color w:val="auto"/>
              </w:rPr>
            </w:pPr>
            <w:r>
              <w:rPr>
                <w:rFonts w:ascii="Arial" w:cs="Arial" w:eastAsia="Arial" w:hAnsi="Arial"/>
                <w:sz w:val="13"/>
                <w:szCs w:val="13"/>
                <w:color w:val="auto"/>
              </w:rPr>
              <w:t>(1)  Totals of percent of revenue may not foot due to rounding.</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98"/>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Fiscal 2026 and 2025</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7"/>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Revenue</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8"/>
        </w:trPr>
        <w:tc>
          <w:tcPr>
            <w:tcW w:w="4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1"/>
                <w:szCs w:val="11"/>
                <w:b w:val="1"/>
                <w:bCs w:val="1"/>
                <w:color w:val="auto"/>
              </w:rPr>
              <w:t>Year Ended January 31,</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50"/>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2026</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gridSpan w:val="6"/>
          </w:tcPr>
          <w:p>
            <w:pPr>
              <w:jc w:val="right"/>
              <w:ind w:right="296"/>
              <w:spacing w:after="0"/>
              <w:rPr>
                <w:sz w:val="20"/>
                <w:szCs w:val="20"/>
                <w:color w:val="auto"/>
              </w:rPr>
            </w:pPr>
            <w:r>
              <w:rPr>
                <w:rFonts w:ascii="Arial" w:cs="Arial" w:eastAsia="Arial" w:hAnsi="Arial"/>
                <w:sz w:val="11"/>
                <w:szCs w:val="11"/>
                <w:b w:val="1"/>
                <w:bCs w:val="1"/>
                <w:color w:val="auto"/>
              </w:rPr>
              <w:t>(dollars in thousands)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Usage-based revenue</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640,396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33"/>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490,356</w:t>
            </w:r>
          </w:p>
        </w:tc>
        <w:tc>
          <w:tcPr>
            <w:tcW w:w="1100" w:type="dxa"/>
            <w:vAlign w:val="bottom"/>
            <w:gridSpan w:val="3"/>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150,040</w:t>
            </w:r>
          </w:p>
        </w:tc>
        <w:tc>
          <w:tcPr>
            <w:tcW w:w="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Subscription revenue</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61,869</w:t>
            </w:r>
          </w:p>
        </w:tc>
        <w:tc>
          <w:tcPr>
            <w:tcW w:w="80" w:type="dxa"/>
            <w:vAlign w:val="bottom"/>
          </w:tcPr>
          <w:p>
            <w:pPr>
              <w:spacing w:after="0"/>
              <w:rPr>
                <w:sz w:val="15"/>
                <w:szCs w:val="15"/>
                <w:color w:val="auto"/>
              </w:rPr>
            </w:pPr>
          </w:p>
        </w:tc>
        <w:tc>
          <w:tcPr>
            <w:tcW w:w="600" w:type="dxa"/>
            <w:vAlign w:val="bottom"/>
          </w:tcPr>
          <w:p>
            <w:pPr>
              <w:jc w:val="right"/>
              <w:ind w:right="433"/>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46,481</w:t>
            </w:r>
          </w:p>
        </w:tc>
        <w:tc>
          <w:tcPr>
            <w:tcW w:w="1100" w:type="dxa"/>
            <w:vAlign w:val="bottom"/>
            <w:gridSpan w:val="3"/>
          </w:tcPr>
          <w:p>
            <w:pPr>
              <w:jc w:val="right"/>
              <w:ind w:right="836"/>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15,388</w:t>
            </w:r>
          </w:p>
        </w:tc>
        <w:tc>
          <w:tcPr>
            <w:tcW w:w="2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33 %</w:t>
            </w:r>
          </w:p>
        </w:tc>
      </w:tr>
      <w:tr>
        <w:trPr>
          <w:trHeight w:val="196"/>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702,265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536,837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165,428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Total revenue for the year ended January 31, 2026 increased $165.4 million, or 31%, compared to the year ended January 31, 2025. This increase was primarily due to (i) an increase in usage-based revenue driven by a 38% increase in GBV and a 13%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impact of foreign currency translation on the change in revenue for the year ended January 31, 2025 to the year ended January 31, 2026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 and Gross Profit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50"/>
        </w:trPr>
        <w:tc>
          <w:tcPr>
            <w:tcW w:w="454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$201,794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$169,815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8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Gross profit</w:t>
            </w:r>
          </w:p>
        </w:tc>
        <w:tc>
          <w:tcPr>
            <w:tcW w:w="660" w:type="dxa"/>
            <w:vAlign w:val="bottom"/>
          </w:tcPr>
          <w:p>
            <w:pPr>
              <w:jc w:val="right"/>
              <w:spacing w:after="0"/>
              <w:rPr>
                <w:sz w:val="20"/>
                <w:szCs w:val="20"/>
                <w:color w:val="auto"/>
              </w:rPr>
            </w:pPr>
            <w:r>
              <w:rPr>
                <w:rFonts w:ascii="Arial" w:cs="Arial" w:eastAsia="Arial" w:hAnsi="Arial"/>
                <w:sz w:val="14"/>
                <w:szCs w:val="14"/>
                <w:color w:val="auto"/>
              </w:rPr>
              <w:t>$500,471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$367,022</w:t>
            </w:r>
          </w:p>
        </w:tc>
        <w:tc>
          <w:tcPr>
            <w:tcW w:w="8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133,449</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36 %</w:t>
            </w:r>
          </w:p>
        </w:tc>
      </w:tr>
      <w:tr>
        <w:trPr>
          <w:trHeight w:val="18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bl>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Cost of revenue for the year ended January 31, 2026 increased by $32.0 million, or 19%, compared to the year ended January 31, 2025. This increase was primarily due to an increase in salaries and related benefits of $21.8 million, primarily driven by $5.3 million of stock-based compensation expense recognized in connection with our IPO and an increase in headcount. Additional drivers of the period over period increase include (i) an increase in cloud hosting, support, processing and ticketing fees of $4.8 million, and (ii) an increase in facilities and IT-related costs of $2.5 million. The increase in gross profit and gross margin is primarily due to an increase in revenue on a relatively fixed cost base supported by our delivery of AI-powered customer support.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1"/>
                <w:szCs w:val="11"/>
                <w:b w:val="1"/>
                <w:bCs w:val="1"/>
                <w:color w:val="auto"/>
              </w:rPr>
              <w:t>Year Ended January 31,</w:t>
            </w:r>
          </w:p>
        </w:tc>
        <w:tc>
          <w:tcPr>
            <w:tcW w:w="1680" w:type="dxa"/>
            <w:vAlign w:val="bottom"/>
            <w:tcBorders>
              <w:bottom w:val="single" w:sz="8" w:color="auto"/>
            </w:tcBorders>
          </w:tcPr>
          <w:p>
            <w:pPr>
              <w:spacing w:after="0"/>
              <w:rPr>
                <w:sz w:val="13"/>
                <w:szCs w:val="13"/>
                <w:color w:val="auto"/>
              </w:rPr>
            </w:pPr>
          </w:p>
        </w:tc>
      </w:tr>
      <w:tr>
        <w:trPr>
          <w:trHeight w:val="150"/>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68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rPr>
              <w:t>(dollars in thousands)</w:t>
            </w:r>
          </w:p>
        </w:tc>
        <w:tc>
          <w:tcPr>
            <w:tcW w:w="1680" w:type="dxa"/>
            <w:vAlign w:val="bottom"/>
          </w:tcPr>
          <w:p>
            <w:pPr>
              <w:spacing w:after="0"/>
              <w:rPr>
                <w:sz w:val="15"/>
                <w:szCs w:val="15"/>
                <w:color w:val="auto"/>
              </w:rPr>
            </w:pP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28,851</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bl>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Research and development expense for the year ended January 31, 2026 increased by $28.9 million, or 24%, compared to the year ended January 31, 2025. The increase was primarily due to an increase of $24.8 million in salaries and related benefits, primarily driven by $18.2 million of stock-based compensation expense recognized in connection with our IPO and an increase in headcount. Additional drivers of the period over period increase include (i) an increase in facilities and IT-related costs of $2.0 million, and (ii) an increase in other corporate costs of $1.0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and Marketing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1"/>
                <w:szCs w:val="11"/>
                <w:b w:val="1"/>
                <w:bCs w:val="1"/>
                <w:color w:val="auto"/>
              </w:rPr>
              <w:t>Year Ended January 31,</w:t>
            </w:r>
          </w:p>
        </w:tc>
        <w:tc>
          <w:tcPr>
            <w:tcW w:w="1680" w:type="dxa"/>
            <w:vAlign w:val="bottom"/>
            <w:tcBorders>
              <w:bottom w:val="single" w:sz="8" w:color="auto"/>
            </w:tcBorders>
          </w:tcPr>
          <w:p>
            <w:pPr>
              <w:spacing w:after="0"/>
              <w:rPr>
                <w:sz w:val="13"/>
                <w:szCs w:val="13"/>
                <w:color w:val="auto"/>
              </w:rPr>
            </w:pPr>
          </w:p>
        </w:tc>
      </w:tr>
      <w:tr>
        <w:trPr>
          <w:trHeight w:val="150"/>
        </w:trPr>
        <w:tc>
          <w:tcPr>
            <w:tcW w:w="4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68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rPr>
              <w:t>(dollars in thousands)</w:t>
            </w:r>
          </w:p>
        </w:tc>
        <w:tc>
          <w:tcPr>
            <w:tcW w:w="1680" w:type="dxa"/>
            <w:vAlign w:val="bottom"/>
          </w:tcPr>
          <w:p>
            <w:pPr>
              <w:spacing w:after="0"/>
              <w:rPr>
                <w:sz w:val="15"/>
                <w:szCs w:val="15"/>
                <w:color w:val="auto"/>
              </w:rPr>
            </w:pP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123,945</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bl>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Sales and marketing expense for the year ended January 31, 2026 increased by $123.9 million, or 57%, compared to the year ended January 31, 2025. This increase was primarily due to an increase of $52.1 million in salaries and related benefits, primarily driven by $23.9 million of stock-based compensation expense recognized in connection with our IPO and an increase in headcount as we continue to expand our sales and marketing organization to grow our customer base. Additional drivers of the period over period increase include (i) $36.2 million of accelerated amortization expense recognized during the year ended January 31, 2026 in connection with the announced retirement of the R&amp;M brand, (ii) an increase in advertising and marketing expense of $15.2 million, (iii) an increase in sales commissions expense of $12.0 million, (iv) an increase in other corporate costs of $4.2 million, and (v) an increase in facilities and IT-related costs of $2.6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1"/>
                <w:szCs w:val="11"/>
                <w:b w:val="1"/>
                <w:bCs w:val="1"/>
                <w:color w:val="auto"/>
              </w:rPr>
              <w:t>Year Ended January 31,</w:t>
            </w:r>
          </w:p>
        </w:tc>
        <w:tc>
          <w:tcPr>
            <w:tcW w:w="1680" w:type="dxa"/>
            <w:vAlign w:val="bottom"/>
            <w:tcBorders>
              <w:bottom w:val="single" w:sz="8" w:color="auto"/>
            </w:tcBorders>
          </w:tcPr>
          <w:p>
            <w:pPr>
              <w:spacing w:after="0"/>
              <w:rPr>
                <w:sz w:val="13"/>
                <w:szCs w:val="13"/>
                <w:color w:val="auto"/>
              </w:rPr>
            </w:pPr>
          </w:p>
        </w:tc>
      </w:tr>
      <w:tr>
        <w:trPr>
          <w:trHeight w:val="150"/>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68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rPr>
              <w:t>(dollars in thousands)</w:t>
            </w:r>
          </w:p>
        </w:tc>
        <w:tc>
          <w:tcPr>
            <w:tcW w:w="1680" w:type="dxa"/>
            <w:vAlign w:val="bottom"/>
          </w:tcPr>
          <w:p>
            <w:pPr>
              <w:spacing w:after="0"/>
              <w:rPr>
                <w:sz w:val="15"/>
                <w:szCs w:val="15"/>
                <w:color w:val="auto"/>
              </w:rPr>
            </w:pP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203,444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133,552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r>
    </w:tbl>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General and administrative expense for the year ended January 31, 2026 increased by $69.9 million, or 52%, compared to the year ended January 31, 2025. This increase was primarily due to an increase in salaries and related benefits of $59.8 million, primarily driven by $34.4 million of stock-based compensation expense recognized in connection with our IPO and an increase in headcount. Additional drivers of the period over period increase include (i) $6.7 million of severance and executive transition costs recognized during the year ended January 31, 2026 in connection with the departure of our CFO, and (ii) $1.2 million of restructuring costs related to workforce reductions recognized during the year ended January 31, 2026 in connection with the announced transition of R&amp;M customers to the Navan platform.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1"/>
                <w:szCs w:val="11"/>
                <w:b w:val="1"/>
                <w:bCs w:val="1"/>
                <w:color w:val="auto"/>
              </w:rPr>
              <w:t>Year Ended January 31,</w:t>
            </w:r>
          </w:p>
        </w:tc>
        <w:tc>
          <w:tcPr>
            <w:tcW w:w="1680" w:type="dxa"/>
            <w:vAlign w:val="bottom"/>
            <w:tcBorders>
              <w:bottom w:val="single" w:sz="8" w:color="auto"/>
            </w:tcBorders>
          </w:tcPr>
          <w:p>
            <w:pPr>
              <w:spacing w:after="0"/>
              <w:rPr>
                <w:sz w:val="13"/>
                <w:szCs w:val="13"/>
                <w:color w:val="auto"/>
              </w:rPr>
            </w:pPr>
          </w:p>
        </w:tc>
      </w:tr>
      <w:tr>
        <w:trPr>
          <w:trHeight w:val="150"/>
        </w:trPr>
        <w:tc>
          <w:tcPr>
            <w:tcW w:w="4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68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rPr>
              <w:t>(dollars in thousands)</w:t>
            </w:r>
          </w:p>
        </w:tc>
        <w:tc>
          <w:tcPr>
            <w:tcW w:w="1680" w:type="dxa"/>
            <w:vAlign w:val="bottom"/>
          </w:tcPr>
          <w:p>
            <w:pPr>
              <w:spacing w:after="0"/>
              <w:rPr>
                <w:sz w:val="15"/>
                <w:szCs w:val="15"/>
                <w:color w:val="auto"/>
              </w:rPr>
            </w:pP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bl>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Interest expense for the year ended January 31, 2026 decreased $24.7 million, or 32%, compared to the year ended January 31, 2025, primarily due to the settlement of the 2022 Promissory Note in February 2025 (see Note 8 ―Debt in the notes to the consolidated financial statements included elsewhere in this report), the conversion of the convertible notes (as described below under “―Liquidity and Capital Resources―Debt Obligations Extinguished in Connection with the IPO―Convertible Notes”), and lower borrowing levels under the Warehouse Credit Facility (as defined below under ―Liquidity and Capital Resources―Debt Obligations―Warehouse Credit Facility”), partially offset by interest expense associated with the Vista Facility (as defined below under “―Liquidity and Capital Resources―Debt Obligations Extinguished in Connection with the IPO―Vista Facility”) and the ABL facility (as defined below under “―Liquidity and Capital Resources―Debt Obligations―ABL Facility”).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1"/>
                <w:szCs w:val="11"/>
                <w:b w:val="1"/>
                <w:bCs w:val="1"/>
                <w:color w:val="auto"/>
              </w:rPr>
              <w:t>Year Ended January 31,</w:t>
            </w:r>
          </w:p>
        </w:tc>
        <w:tc>
          <w:tcPr>
            <w:tcW w:w="1560" w:type="dxa"/>
            <w:vAlign w:val="bottom"/>
            <w:tcBorders>
              <w:bottom w:val="single" w:sz="8" w:color="auto"/>
            </w:tcBorders>
          </w:tcPr>
          <w:p>
            <w:pPr>
              <w:spacing w:after="0"/>
              <w:rPr>
                <w:sz w:val="13"/>
                <w:szCs w:val="13"/>
                <w:color w:val="auto"/>
              </w:rPr>
            </w:pPr>
          </w:p>
        </w:tc>
      </w:tr>
      <w:tr>
        <w:trPr>
          <w:trHeight w:val="150"/>
        </w:trPr>
        <w:tc>
          <w:tcPr>
            <w:tcW w:w="4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3"/>
                <w:szCs w:val="13"/>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center"/>
              <w:ind w:left="560"/>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17,346</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NM</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Other income for the year ended January 31, 2026 increased by $17.3 million compared to the year ended January 31, 2025 primarily due to an increase in foreign currency transaction gains of $16.3 million and an increase in interest income of $3.6 million, partially offset by debt issuance costs of $2.9 million incurred in connection with the issuance of the SAFEs (as described below under “―Liquidity and Capital Resources― Debt Obligations Extinguished in Connection with the IPO―SAFEs”), which were expensed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 on Extinguishment of Debt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1"/>
                <w:szCs w:val="11"/>
                <w:b w:val="1"/>
                <w:bCs w:val="1"/>
                <w:color w:val="auto"/>
              </w:rPr>
              <w:t>Year Ended January 31,</w:t>
            </w:r>
          </w:p>
        </w:tc>
        <w:tc>
          <w:tcPr>
            <w:tcW w:w="1560" w:type="dxa"/>
            <w:vAlign w:val="bottom"/>
            <w:tcBorders>
              <w:bottom w:val="single" w:sz="8" w:color="auto"/>
            </w:tcBorders>
          </w:tcPr>
          <w:p>
            <w:pPr>
              <w:spacing w:after="0"/>
              <w:rPr>
                <w:sz w:val="13"/>
                <w:szCs w:val="13"/>
                <w:color w:val="auto"/>
              </w:rPr>
            </w:pPr>
          </w:p>
        </w:tc>
      </w:tr>
      <w:tr>
        <w:trPr>
          <w:trHeight w:val="150"/>
        </w:trPr>
        <w:tc>
          <w:tcPr>
            <w:tcW w:w="4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3"/>
                <w:szCs w:val="13"/>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center"/>
              <w:ind w:left="560"/>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(117,978)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ind w:left="100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(117,978)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NM</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Loss on extinguishment of debt for the year ended January 31, 2026 includes an $84.1 million loss on the conversion of the convertible notes (as described below under “―Liquidity and Capital Resources―Debt Obligations Extinguished in Connection with the IPO―Convertible Notes”), a $20.5 million loss on the settlement of the 2022 Promissory Note, and a $13.3 million loss on the settlement of the Vista Facility.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Gain (Loss) on Fair Value Adjustments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1"/>
                <w:szCs w:val="11"/>
                <w:b w:val="1"/>
                <w:bCs w:val="1"/>
                <w:color w:val="auto"/>
              </w:rPr>
              <w:t>Year Ended January 31,</w:t>
            </w:r>
          </w:p>
        </w:tc>
        <w:tc>
          <w:tcPr>
            <w:tcW w:w="1560" w:type="dxa"/>
            <w:vAlign w:val="bottom"/>
            <w:tcBorders>
              <w:bottom w:val="single" w:sz="8" w:color="auto"/>
            </w:tcBorders>
          </w:tcPr>
          <w:p>
            <w:pPr>
              <w:spacing w:after="0"/>
              <w:rPr>
                <w:sz w:val="13"/>
                <w:szCs w:val="13"/>
                <w:color w:val="auto"/>
              </w:rPr>
            </w:pPr>
          </w:p>
        </w:tc>
      </w:tr>
      <w:tr>
        <w:trPr>
          <w:trHeight w:val="171"/>
        </w:trPr>
        <w:tc>
          <w:tcPr>
            <w:tcW w:w="4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4"/>
                <w:szCs w:val="14"/>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center"/>
              <w:ind w:left="560"/>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fair value adjustments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(59,241)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NM</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Gain (loss) on fair value adjustments for the year ended January 31, 2026 includes a $71.7 million loss related to the SAFEs and common stock warrant liabilities, offset by a $25.2 million gain related to the change in the fair value of the embedded derivative liability related to the convertible notes (as described below under “―Liquidity and Capital Resources―Debt Obligations Extinguished in Connection with the IPO―Convertible Notes”).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1"/>
                <w:szCs w:val="11"/>
                <w:b w:val="1"/>
                <w:bCs w:val="1"/>
                <w:color w:val="auto"/>
              </w:rPr>
              <w:t>Year Ended January 31,</w:t>
            </w:r>
          </w:p>
        </w:tc>
        <w:tc>
          <w:tcPr>
            <w:tcW w:w="1720" w:type="dxa"/>
            <w:vAlign w:val="bottom"/>
            <w:tcBorders>
              <w:bottom w:val="single" w:sz="8" w:color="auto"/>
            </w:tcBorders>
          </w:tcPr>
          <w:p>
            <w:pPr>
              <w:spacing w:after="0"/>
              <w:rPr>
                <w:sz w:val="13"/>
                <w:szCs w:val="13"/>
                <w:color w:val="auto"/>
              </w:rPr>
            </w:pPr>
          </w:p>
        </w:tc>
      </w:tr>
      <w:tr>
        <w:trPr>
          <w:trHeight w:val="150"/>
        </w:trPr>
        <w:tc>
          <w:tcPr>
            <w:tcW w:w="46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72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 Change</w:t>
            </w:r>
          </w:p>
        </w:tc>
      </w:tr>
      <w:tr>
        <w:trPr>
          <w:trHeight w:val="182"/>
        </w:trPr>
        <w:tc>
          <w:tcPr>
            <w:tcW w:w="4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5"/>
          </w:tcPr>
          <w:p>
            <w:pPr>
              <w:jc w:val="center"/>
              <w:ind w:right="280"/>
              <w:spacing w:after="0"/>
              <w:rPr>
                <w:sz w:val="20"/>
                <w:szCs w:val="20"/>
                <w:color w:val="auto"/>
              </w:rPr>
            </w:pPr>
            <w:r>
              <w:rPr>
                <w:rFonts w:ascii="Arial" w:cs="Arial" w:eastAsia="Arial" w:hAnsi="Arial"/>
                <w:sz w:val="11"/>
                <w:szCs w:val="11"/>
                <w:b w:val="1"/>
                <w:bCs w:val="1"/>
                <w:color w:val="auto"/>
              </w:rPr>
              <w:t>(dollars in thousands)</w:t>
            </w:r>
          </w:p>
        </w:tc>
        <w:tc>
          <w:tcPr>
            <w:tcW w:w="1720" w:type="dxa"/>
            <w:vAlign w:val="bottom"/>
          </w:tcPr>
          <w:p>
            <w:pPr>
              <w:spacing w:after="0"/>
              <w:rPr>
                <w:sz w:val="15"/>
                <w:szCs w:val="15"/>
                <w:color w:val="auto"/>
              </w:rPr>
            </w:pPr>
          </w:p>
        </w:tc>
      </w:tr>
      <w:tr>
        <w:trPr>
          <w:trHeight w:val="18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center"/>
              <w:ind w:right="1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(7,462)</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Income tax expense for the year ended January 31, 2026 decreased by $7.5 million, or 78%, compared to the year ended January 31, 2025 primarily due to excess tax benefits related to accelerated amortization recognized in connection with the announced retirement of the R&amp;M brand, partially offset by increases in foreign profits and nondeductible expenses.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supplement our consolidated financial statements, which are prepared and presented in accordance with GAAP, we use certain non-GAAP financial measures, which include non-GAAP gross profit, non-GAAP gross margin, non-GAAP income (loss) from operations, non-GAAP net loss, and free cash flow,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include these non-GAAP financial measures in this Annual Report on Form 10-K because they are important measures upon which our management assesses our operating performance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78" w:lineRule="exact"/>
        <w:rPr>
          <w:sz w:val="20"/>
          <w:szCs w:val="20"/>
          <w:color w:val="auto"/>
        </w:rPr>
      </w:pPr>
    </w:p>
    <w:p>
      <w:pPr>
        <w:jc w:val="both"/>
        <w:ind w:left="520" w:hanging="260"/>
        <w:spacing w:after="0" w:line="265"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Stock-based compensation-related charges. </w:t>
      </w:r>
      <w:r>
        <w:rPr>
          <w:rFonts w:ascii="Arial" w:cs="Arial" w:eastAsia="Arial" w:hAnsi="Arial"/>
          <w:sz w:val="14"/>
          <w:szCs w:val="14"/>
          <w:color w:val="auto"/>
        </w:rPr>
        <w:t>We exclude stock-based compensation expense and related charges to allow investors to make more meaningful comparisons</w:t>
      </w:r>
      <w:r>
        <w:rPr>
          <w:rFonts w:ascii="Arial" w:cs="Arial" w:eastAsia="Arial" w:hAnsi="Arial"/>
          <w:sz w:val="14"/>
          <w:szCs w:val="14"/>
          <w:i w:val="1"/>
          <w:iCs w:val="1"/>
          <w:color w:val="auto"/>
        </w:rPr>
        <w:t xml:space="preserve"> </w:t>
      </w:r>
      <w:r>
        <w:rPr>
          <w:rFonts w:ascii="Arial" w:cs="Arial" w:eastAsia="Arial" w:hAnsi="Arial"/>
          <w:sz w:val="14"/>
          <w:szCs w:val="14"/>
          <w:color w:val="auto"/>
        </w:rPr>
        <w:t>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Amortization of intangible assets. </w:t>
      </w:r>
      <w:r>
        <w:rPr>
          <w:rFonts w:ascii="Arial" w:cs="Arial" w:eastAsia="Arial" w:hAnsi="Arial"/>
          <w:sz w:val="14"/>
          <w:szCs w:val="14"/>
          <w:color w:val="auto"/>
        </w:rPr>
        <w:t>We recognize amortization expense related to intangible assets acquired in connection with certain business combinations. Amortization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Accelerated amortization of trade name intangible asset. </w:t>
      </w:r>
      <w:r>
        <w:rPr>
          <w:rFonts w:ascii="Arial" w:cs="Arial" w:eastAsia="Arial" w:hAnsi="Arial"/>
          <w:sz w:val="14"/>
          <w:szCs w:val="14"/>
          <w:color w:val="auto"/>
        </w:rPr>
        <w:t>During the year ended January 31, 2026, we announced the retirement of the R&amp;M brand for the purposes of</w:t>
      </w:r>
      <w:r>
        <w:rPr>
          <w:rFonts w:ascii="Arial" w:cs="Arial" w:eastAsia="Arial" w:hAnsi="Arial"/>
          <w:sz w:val="14"/>
          <w:szCs w:val="14"/>
          <w:i w:val="1"/>
          <w:iCs w:val="1"/>
          <w:color w:val="auto"/>
        </w:rPr>
        <w:t xml:space="preserve"> </w:t>
      </w:r>
      <w:r>
        <w:rPr>
          <w:rFonts w:ascii="Arial" w:cs="Arial" w:eastAsia="Arial" w:hAnsi="Arial"/>
          <w:sz w:val="14"/>
          <w:szCs w:val="14"/>
          <w:color w:val="auto"/>
        </w:rPr>
        <w:t>conducting new corporate travel sales. As a result, we fully accelerated the recognition of remaining amortization expense related to the R&amp;M trade name intangible asset. We exclude this non-cash expense, consistent with amortization of other intangible assets.</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Amortization of debt discount and debt issuance costs. </w:t>
      </w:r>
      <w:r>
        <w:rPr>
          <w:rFonts w:ascii="Arial" w:cs="Arial" w:eastAsia="Arial" w:hAnsi="Arial"/>
          <w:sz w:val="14"/>
          <w:szCs w:val="14"/>
          <w:color w:val="auto"/>
        </w:rPr>
        <w:t>In connection with the issuance of our outstanding debt instruments, we incur upfront issuance costs and, where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9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Loss (gain) on fair value adjustments. </w:t>
      </w:r>
      <w:r>
        <w:rPr>
          <w:rFonts w:ascii="Arial" w:cs="Arial" w:eastAsia="Arial" w:hAnsi="Arial"/>
          <w:sz w:val="14"/>
          <w:szCs w:val="14"/>
          <w:color w:val="auto"/>
        </w:rPr>
        <w:t>We exclude gains and losses on fair value adjustments related to the remeasurement of the SAFEs and our derivative and warrant</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liabilities as of the end of each reporting period. We exclude these non-cash gains and losses because they are unrelated to our core operating performance.</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SAFE debt issuance costs expensed. </w:t>
      </w:r>
      <w:r>
        <w:rPr>
          <w:rFonts w:ascii="Arial" w:cs="Arial" w:eastAsia="Arial" w:hAnsi="Arial"/>
          <w:sz w:val="14"/>
          <w:szCs w:val="14"/>
          <w:color w:val="auto"/>
        </w:rPr>
        <w:t>We exclude the issuance costs incurred in connection with the SAFEs issued during the year ended January 31, 2026, as these costs</w:t>
      </w:r>
      <w:r>
        <w:rPr>
          <w:rFonts w:ascii="Arial" w:cs="Arial" w:eastAsia="Arial" w:hAnsi="Arial"/>
          <w:sz w:val="14"/>
          <w:szCs w:val="14"/>
          <w:i w:val="1"/>
          <w:iCs w:val="1"/>
          <w:color w:val="auto"/>
        </w:rPr>
        <w:t xml:space="preserve"> </w:t>
      </w:r>
      <w:r>
        <w:rPr>
          <w:rFonts w:ascii="Arial" w:cs="Arial" w:eastAsia="Arial" w:hAnsi="Arial"/>
          <w:sz w:val="14"/>
          <w:szCs w:val="14"/>
          <w:color w:val="auto"/>
        </w:rPr>
        <w:t>are non-recurring and unrelated to our core operating performance. We believe the exclusion of this expense provides for a useful comparison of our operating results to prior periods and to our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Loss on extinguishment of debt. </w:t>
      </w:r>
      <w:r>
        <w:rPr>
          <w:rFonts w:ascii="Arial" w:cs="Arial" w:eastAsia="Arial" w:hAnsi="Arial"/>
          <w:sz w:val="14"/>
          <w:szCs w:val="14"/>
          <w:color w:val="auto"/>
        </w:rPr>
        <w:t>We exclude losses on the extinguishment of debt, as these losses are non-recurring and unrelated to our core operating performance. We</w:t>
      </w:r>
      <w:r>
        <w:rPr>
          <w:rFonts w:ascii="Arial" w:cs="Arial" w:eastAsia="Arial" w:hAnsi="Arial"/>
          <w:sz w:val="14"/>
          <w:szCs w:val="14"/>
          <w:i w:val="1"/>
          <w:iCs w:val="1"/>
          <w:color w:val="auto"/>
        </w:rPr>
        <w:t xml:space="preserve"> </w:t>
      </w:r>
      <w:r>
        <w:rPr>
          <w:rFonts w:ascii="Arial" w:cs="Arial" w:eastAsia="Arial" w:hAnsi="Arial"/>
          <w:sz w:val="14"/>
          <w:szCs w:val="14"/>
          <w:color w:val="auto"/>
        </w:rPr>
        <w:t>believe the exclusion provides for a useful comparison of our operating results to prior periods and to our peer companies.</w:t>
      </w:r>
    </w:p>
    <w:p>
      <w:pPr>
        <w:spacing w:after="0" w:line="77" w:lineRule="exact"/>
        <w:rPr>
          <w:rFonts w:ascii="Arial" w:cs="Arial" w:eastAsia="Arial" w:hAnsi="Arial"/>
          <w:sz w:val="14"/>
          <w:szCs w:val="14"/>
          <w:i w:val="1"/>
          <w:iCs w:val="1"/>
          <w:color w:val="auto"/>
        </w:rPr>
      </w:pPr>
    </w:p>
    <w:p>
      <w:pPr>
        <w:jc w:val="both"/>
        <w:ind w:left="520" w:hanging="260"/>
        <w:spacing w:after="0" w:line="271" w:lineRule="auto"/>
        <w:tabs>
          <w:tab w:leader="none" w:pos="516"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Severance and executive transition costs. </w:t>
      </w:r>
      <w:r>
        <w:rPr>
          <w:rFonts w:ascii="Arial" w:cs="Arial" w:eastAsia="Arial" w:hAnsi="Arial"/>
          <w:sz w:val="14"/>
          <w:szCs w:val="14"/>
          <w:color w:val="auto"/>
        </w:rPr>
        <w:t>During the year ended January 31, 2026, we incurred costs associated with the departure of our CFO, which consisted of</w:t>
      </w:r>
      <w:r>
        <w:rPr>
          <w:rFonts w:ascii="Arial" w:cs="Arial" w:eastAsia="Arial" w:hAnsi="Arial"/>
          <w:sz w:val="14"/>
          <w:szCs w:val="14"/>
          <w:i w:val="1"/>
          <w:iCs w:val="1"/>
          <w:color w:val="auto"/>
        </w:rPr>
        <w:t xml:space="preserve"> </w:t>
      </w:r>
      <w:r>
        <w:rPr>
          <w:rFonts w:ascii="Arial" w:cs="Arial" w:eastAsia="Arial" w:hAnsi="Arial"/>
          <w:sz w:val="14"/>
          <w:szCs w:val="14"/>
          <w:color w:val="auto"/>
        </w:rPr>
        <w:t>severance and retention payments, and other third party professional services. We exclude these costs because they are non-recurring in nature and are not representative of our core operations.</w:t>
      </w:r>
    </w:p>
    <w:p>
      <w:pPr>
        <w:spacing w:after="0" w:line="91" w:lineRule="exact"/>
        <w:rPr>
          <w:rFonts w:ascii="Arial" w:cs="Arial" w:eastAsia="Arial" w:hAnsi="Arial"/>
          <w:sz w:val="14"/>
          <w:szCs w:val="14"/>
          <w:i w:val="1"/>
          <w:iCs w:val="1"/>
          <w:color w:val="auto"/>
        </w:rPr>
      </w:pPr>
    </w:p>
    <w:p>
      <w:pPr>
        <w:jc w:val="both"/>
        <w:ind w:left="520" w:hanging="260"/>
        <w:spacing w:after="0" w:line="265"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 xml:space="preserve">Restructuring costs. </w:t>
      </w:r>
      <w:r>
        <w:rPr>
          <w:rFonts w:ascii="Arial" w:cs="Arial" w:eastAsia="Arial" w:hAnsi="Arial"/>
          <w:sz w:val="14"/>
          <w:szCs w:val="14"/>
          <w:color w:val="auto"/>
        </w:rPr>
        <w:t>During the year ended January 31, 2026, we announced the transition of R&amp;M customers to the Navan platform. As part of the integration and evolution</w:t>
      </w:r>
      <w:r>
        <w:rPr>
          <w:rFonts w:ascii="Arial" w:cs="Arial" w:eastAsia="Arial" w:hAnsi="Arial"/>
          <w:sz w:val="14"/>
          <w:szCs w:val="14"/>
          <w:i w:val="1"/>
          <w:iCs w:val="1"/>
          <w:color w:val="auto"/>
        </w:rPr>
        <w:t xml:space="preserve"> </w:t>
      </w:r>
      <w:r>
        <w:rPr>
          <w:rFonts w:ascii="Arial" w:cs="Arial" w:eastAsia="Arial" w:hAnsi="Arial"/>
          <w:sz w:val="14"/>
          <w:szCs w:val="14"/>
          <w:color w:val="auto"/>
        </w:rPr>
        <w:t>of the unified offering, we implemented workforce reductions and incurred employee-related expenses, including severance and other termination benefits. We may incur incremental restructuring costs in the near and long-term related to the announced unification of services under the Navan brand; however, the timing and magnitude of these costs is uncertain. We exclude these costs because they are non-recurring in nature and are not representative of our core operations.</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 xml:space="preserve">Non-GAAP provision for income taxes. </w:t>
      </w:r>
      <w:r>
        <w:rPr>
          <w:rFonts w:ascii="Arial" w:cs="Arial" w:eastAsia="Arial" w:hAnsi="Arial"/>
          <w:sz w:val="14"/>
          <w:szCs w:val="14"/>
          <w:color w:val="auto"/>
        </w:rPr>
        <w:t>We have adjusted the provision for income taxes to reflect the income tax effects of the non-GAAP adjustments to GAAP loss before</w:t>
      </w:r>
      <w:r>
        <w:rPr>
          <w:rFonts w:ascii="Arial" w:cs="Arial" w:eastAsia="Arial" w:hAnsi="Arial"/>
          <w:sz w:val="14"/>
          <w:szCs w:val="14"/>
          <w:i w:val="1"/>
          <w:iCs w:val="1"/>
          <w:color w:val="auto"/>
        </w:rPr>
        <w:t xml:space="preserve"> </w:t>
      </w:r>
      <w:r>
        <w:rPr>
          <w:rFonts w:ascii="Arial" w:cs="Arial" w:eastAsia="Arial" w:hAnsi="Arial"/>
          <w:sz w:val="14"/>
          <w:szCs w:val="14"/>
          <w:color w:val="auto"/>
        </w:rPr>
        <w:t>income tax expense. Due to the full valuation allowance against U.S. federal and state deferred taxes, the primary non-GAAP adjustments relate to the income tax effects of stock-based compensation expense and amortization of intangible assets.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Gross Profit and Non-GAAP Gross Margin</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define non-GAAP gross profit as GAAP gross profit, excluding stock-based compensation-related charges, amortization of intangible assets, and restructuring costs. We define non-GAAP gross margin as non-GAAP gross profit divided by revenue.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reconciliation of GAAP gross profit to non-GAAP gross profit and gross margin to non-GAAP gross margin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Year Ended January 31,</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674"/>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63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8"/>
        </w:trPr>
        <w:tc>
          <w:tcPr>
            <w:tcW w:w="77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249"/>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gross profit</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500,471</w:t>
            </w:r>
          </w:p>
        </w:tc>
        <w:tc>
          <w:tcPr>
            <w:tcW w:w="80" w:type="dxa"/>
            <w:vAlign w:val="bottom"/>
            <w:shd w:val="clear" w:color="auto" w:fill="CCEEFF"/>
          </w:tcPr>
          <w:p>
            <w:pPr>
              <w:spacing w:after="0"/>
              <w:rPr>
                <w:sz w:val="24"/>
                <w:szCs w:val="24"/>
                <w:color w:val="auto"/>
              </w:rPr>
            </w:pPr>
          </w:p>
        </w:tc>
        <w:tc>
          <w:tcPr>
            <w:tcW w:w="640" w:type="dxa"/>
            <w:vAlign w:val="bottom"/>
            <w:vMerge w:val="restart"/>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367,022</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tcPr>
          <w:p>
            <w:pPr>
              <w:ind w:left="20"/>
              <w:spacing w:after="0"/>
              <w:rPr>
                <w:sz w:val="20"/>
                <w:szCs w:val="20"/>
                <w:color w:val="auto"/>
              </w:rPr>
            </w:pPr>
            <w:r>
              <w:rPr>
                <w:rFonts w:ascii="Arial" w:cs="Arial" w:eastAsia="Arial" w:hAnsi="Arial"/>
                <w:sz w:val="14"/>
                <w:szCs w:val="14"/>
                <w:color w:val="auto"/>
              </w:rPr>
              <w:t>GAAP gross margin</w:t>
            </w:r>
          </w:p>
        </w:tc>
        <w:tc>
          <w:tcPr>
            <w:tcW w:w="420" w:type="dxa"/>
            <w:vAlign w:val="bottom"/>
          </w:tcPr>
          <w:p>
            <w:pPr>
              <w:spacing w:after="0"/>
              <w:rPr>
                <w:sz w:val="24"/>
                <w:szCs w:val="24"/>
                <w:color w:val="auto"/>
              </w:rPr>
            </w:pPr>
          </w:p>
        </w:tc>
        <w:tc>
          <w:tcPr>
            <w:tcW w:w="1320" w:type="dxa"/>
            <w:vAlign w:val="bottom"/>
          </w:tcPr>
          <w:p>
            <w:pPr>
              <w:jc w:val="right"/>
              <w:ind w:right="114"/>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7"/>
        </w:trPr>
        <w:tc>
          <w:tcPr>
            <w:tcW w:w="7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compensation-related charges</w:t>
            </w: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10,476</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tcPr>
          <w:p>
            <w:pPr>
              <w:ind w:left="20"/>
              <w:spacing w:after="0"/>
              <w:rPr>
                <w:sz w:val="20"/>
                <w:szCs w:val="20"/>
                <w:color w:val="auto"/>
              </w:rPr>
            </w:pPr>
            <w:r>
              <w:rPr>
                <w:rFonts w:ascii="Arial" w:cs="Arial" w:eastAsia="Arial" w:hAnsi="Arial"/>
                <w:sz w:val="14"/>
                <w:szCs w:val="14"/>
                <w:color w:val="auto"/>
              </w:rPr>
              <w:t>Amortization of intangible assets</w:t>
            </w:r>
          </w:p>
        </w:tc>
        <w:tc>
          <w:tcPr>
            <w:tcW w:w="420" w:type="dxa"/>
            <w:vAlign w:val="bottom"/>
          </w:tcPr>
          <w:p>
            <w:pPr>
              <w:spacing w:after="0"/>
              <w:rPr>
                <w:sz w:val="24"/>
                <w:szCs w:val="24"/>
                <w:color w:val="auto"/>
              </w:rPr>
            </w:pPr>
          </w:p>
        </w:tc>
        <w:tc>
          <w:tcPr>
            <w:tcW w:w="1320" w:type="dxa"/>
            <w:vAlign w:val="bottom"/>
          </w:tcPr>
          <w:p>
            <w:pPr>
              <w:jc w:val="right"/>
              <w:ind w:right="114"/>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7"/>
        </w:trPr>
        <w:tc>
          <w:tcPr>
            <w:tcW w:w="7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costs</w:t>
            </w: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7780" w:type="dxa"/>
            <w:vAlign w:val="bottom"/>
          </w:tcPr>
          <w:p>
            <w:pPr>
              <w:ind w:left="20"/>
              <w:spacing w:after="0"/>
              <w:rPr>
                <w:sz w:val="20"/>
                <w:szCs w:val="20"/>
                <w:color w:val="auto"/>
              </w:rPr>
            </w:pPr>
            <w:r>
              <w:rPr>
                <w:rFonts w:ascii="Arial" w:cs="Arial" w:eastAsia="Arial" w:hAnsi="Arial"/>
                <w:sz w:val="14"/>
                <w:szCs w:val="14"/>
                <w:color w:val="auto"/>
              </w:rPr>
              <w:t>Non-GAAP gross profit</w:t>
            </w:r>
          </w:p>
        </w:tc>
        <w:tc>
          <w:tcPr>
            <w:tcW w:w="420" w:type="dxa"/>
            <w:vAlign w:val="bottom"/>
            <w:vMerge w:val="restart"/>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vMerge w:val="restart"/>
          </w:tcPr>
          <w:p>
            <w:pPr>
              <w:jc w:val="right"/>
              <w:ind w:right="34"/>
              <w:spacing w:after="0"/>
              <w:rPr>
                <w:sz w:val="20"/>
                <w:szCs w:val="20"/>
                <w:color w:val="auto"/>
              </w:rPr>
            </w:pPr>
            <w:r>
              <w:rPr>
                <w:rFonts w:ascii="Arial" w:cs="Arial" w:eastAsia="Arial" w:hAnsi="Arial"/>
                <w:sz w:val="14"/>
                <w:szCs w:val="14"/>
                <w:color w:val="auto"/>
              </w:rPr>
              <w:t>511,057</w:t>
            </w:r>
          </w:p>
        </w:tc>
        <w:tc>
          <w:tcPr>
            <w:tcW w:w="80" w:type="dxa"/>
            <w:vAlign w:val="bottom"/>
          </w:tcPr>
          <w:p>
            <w:pPr>
              <w:spacing w:after="0"/>
              <w:rPr>
                <w:sz w:val="22"/>
                <w:szCs w:val="22"/>
                <w:color w:val="auto"/>
              </w:rPr>
            </w:pPr>
          </w:p>
        </w:tc>
        <w:tc>
          <w:tcPr>
            <w:tcW w:w="640" w:type="dxa"/>
            <w:vAlign w:val="bottom"/>
            <w:vMerge w:val="restart"/>
          </w:tcPr>
          <w:p>
            <w:pPr>
              <w:jc w:val="right"/>
              <w:ind w:right="46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31"/>
              <w:spacing w:after="0"/>
              <w:rPr>
                <w:sz w:val="20"/>
                <w:szCs w:val="20"/>
                <w:color w:val="auto"/>
              </w:rPr>
            </w:pPr>
            <w:r>
              <w:rPr>
                <w:rFonts w:ascii="Arial" w:cs="Arial" w:eastAsia="Arial" w:hAnsi="Arial"/>
                <w:sz w:val="14"/>
                <w:szCs w:val="14"/>
                <w:color w:val="auto"/>
              </w:rPr>
              <w:t>371,855</w:t>
            </w:r>
          </w:p>
        </w:tc>
        <w:tc>
          <w:tcPr>
            <w:tcW w:w="0" w:type="dxa"/>
            <w:vAlign w:val="bottom"/>
          </w:tcPr>
          <w:p>
            <w:pPr>
              <w:spacing w:after="0"/>
              <w:rPr>
                <w:sz w:val="1"/>
                <w:szCs w:val="1"/>
                <w:color w:val="auto"/>
              </w:rPr>
            </w:pPr>
          </w:p>
        </w:tc>
      </w:tr>
      <w:tr>
        <w:trPr>
          <w:trHeight w:val="131"/>
        </w:trPr>
        <w:tc>
          <w:tcPr>
            <w:tcW w:w="778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gross margin</w:t>
            </w:r>
          </w:p>
        </w:tc>
        <w:tc>
          <w:tcPr>
            <w:tcW w:w="42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Income (Loss) from Operations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define non-GAAP income (loss) from operations as GAAP loss from operations, excluding stock-based compensation-related charges, amortization of intangible assets, accelerated amortization of trade name intangible asset, severance and executive transition costs, and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reconciliation of GAAP loss from operations to non-GAAP income (loss) from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7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2026</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65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8"/>
        </w:trPr>
        <w:tc>
          <w:tcPr>
            <w:tcW w:w="77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gridSpan w:val="3"/>
          </w:tcPr>
          <w:p>
            <w:pPr>
              <w:jc w:val="right"/>
              <w:ind w:right="229"/>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loss from operations</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(196,877)</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(107,638)</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tcPr>
          <w:p>
            <w:pPr>
              <w:ind w:left="20"/>
              <w:spacing w:after="0"/>
              <w:rPr>
                <w:sz w:val="20"/>
                <w:szCs w:val="20"/>
                <w:color w:val="auto"/>
              </w:rPr>
            </w:pPr>
            <w:r>
              <w:rPr>
                <w:rFonts w:ascii="Arial" w:cs="Arial" w:eastAsia="Arial" w:hAnsi="Arial"/>
                <w:sz w:val="14"/>
                <w:szCs w:val="14"/>
                <w:color w:val="auto"/>
              </w:rPr>
              <w:t>Stock-based compensation-related charges</w:t>
            </w: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184,653</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77,379</w:t>
            </w:r>
          </w:p>
        </w:tc>
        <w:tc>
          <w:tcPr>
            <w:tcW w:w="0" w:type="dxa"/>
            <w:vAlign w:val="bottom"/>
          </w:tcPr>
          <w:p>
            <w:pPr>
              <w:spacing w:after="0"/>
              <w:rPr>
                <w:sz w:val="1"/>
                <w:szCs w:val="1"/>
                <w:color w:val="auto"/>
              </w:rPr>
            </w:pPr>
          </w:p>
        </w:tc>
      </w:tr>
      <w:tr>
        <w:trPr>
          <w:trHeight w:val="147"/>
        </w:trPr>
        <w:tc>
          <w:tcPr>
            <w:tcW w:w="7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tcPr>
          <w:p>
            <w:pPr>
              <w:ind w:left="20"/>
              <w:spacing w:after="0"/>
              <w:rPr>
                <w:sz w:val="20"/>
                <w:szCs w:val="20"/>
                <w:color w:val="auto"/>
              </w:rPr>
            </w:pPr>
            <w:r>
              <w:rPr>
                <w:rFonts w:ascii="Arial" w:cs="Arial" w:eastAsia="Arial" w:hAnsi="Arial"/>
                <w:sz w:val="14"/>
                <w:szCs w:val="14"/>
                <w:color w:val="auto"/>
              </w:rPr>
              <w:t>Accelerated amortization of trade name intangible asset</w:t>
            </w: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36,160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7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Severance and executive transition costs</w:t>
            </w: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7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78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77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income (loss) from operations</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37,281</w:t>
            </w:r>
          </w:p>
        </w:tc>
        <w:tc>
          <w:tcPr>
            <w:tcW w:w="8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(25,042)</w:t>
            </w:r>
          </w:p>
        </w:tc>
        <w:tc>
          <w:tcPr>
            <w:tcW w:w="0" w:type="dxa"/>
            <w:vAlign w:val="bottom"/>
          </w:tcPr>
          <w:p>
            <w:pPr>
              <w:spacing w:after="0"/>
              <w:rPr>
                <w:sz w:val="1"/>
                <w:szCs w:val="1"/>
                <w:color w:val="auto"/>
              </w:rPr>
            </w:pPr>
          </w:p>
        </w:tc>
      </w:tr>
      <w:tr>
        <w:trPr>
          <w:trHeight w:val="146"/>
        </w:trPr>
        <w:tc>
          <w:tcPr>
            <w:tcW w:w="77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Net Loss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define non-GAAP net loss as GAAP net loss, excluding stock-based compensation-related charges, amortization of intangible assets, accelerated amortization of trade name intangible asset, amortization of debt discount and debt issuance costs, loss (gain) on fair value adjustments, SAFE debt issuance costs expensed, loss on extinguishment of debt, severance and executive transition costs, and restructuring costs, and adjusted to reflect the income tax effects of the non-GAAP adjustments to GAAP loss before income tax expense.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reconciliation of GAAP net loss to non-GAAP net loss for the periods presented:</w:t>
      </w:r>
    </w:p>
    <w:p>
      <w:pPr>
        <w:spacing w:after="0" w:line="208" w:lineRule="exact"/>
        <w:rPr>
          <w:sz w:val="20"/>
          <w:szCs w:val="20"/>
          <w:color w:val="auto"/>
        </w:rPr>
      </w:pPr>
    </w:p>
    <w:p>
      <w:pPr>
        <w:ind w:left="9040"/>
        <w:spacing w:after="0"/>
        <w:rPr>
          <w:sz w:val="20"/>
          <w:szCs w:val="20"/>
          <w:color w:val="auto"/>
        </w:rPr>
      </w:pPr>
      <w:r>
        <w:rPr>
          <w:rFonts w:ascii="Arial" w:cs="Arial" w:eastAsia="Arial" w:hAnsi="Arial"/>
          <w:sz w:val="11"/>
          <w:szCs w:val="11"/>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17780</wp:posOffset>
            </wp:positionV>
            <wp:extent cx="20478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91"/>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jc w:val="right"/>
              <w:ind w:right="59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GAAP net loss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(398,030)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(181,078)</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compensation-related charges</w:t>
            </w:r>
          </w:p>
        </w:tc>
        <w:tc>
          <w:tcPr>
            <w:tcW w:w="1180" w:type="dxa"/>
            <w:vAlign w:val="bottom"/>
          </w:tcPr>
          <w:p>
            <w:pPr>
              <w:jc w:val="right"/>
              <w:spacing w:after="0"/>
              <w:rPr>
                <w:sz w:val="20"/>
                <w:szCs w:val="20"/>
                <w:color w:val="auto"/>
              </w:rPr>
            </w:pPr>
            <w:r>
              <w:rPr>
                <w:rFonts w:ascii="Arial" w:cs="Arial" w:eastAsia="Arial" w:hAnsi="Arial"/>
                <w:sz w:val="14"/>
                <w:szCs w:val="14"/>
                <w:color w:val="auto"/>
              </w:rPr>
              <w:t>184,653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77,379</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Accelerated amortization of trade name intangible asset</w:t>
            </w:r>
          </w:p>
        </w:tc>
        <w:tc>
          <w:tcPr>
            <w:tcW w:w="1180" w:type="dxa"/>
            <w:vAlign w:val="bottom"/>
          </w:tcPr>
          <w:p>
            <w:pPr>
              <w:jc w:val="right"/>
              <w:spacing w:after="0"/>
              <w:rPr>
                <w:sz w:val="20"/>
                <w:szCs w:val="20"/>
                <w:color w:val="auto"/>
              </w:rPr>
            </w:pPr>
            <w:r>
              <w:rPr>
                <w:rFonts w:ascii="Arial" w:cs="Arial" w:eastAsia="Arial" w:hAnsi="Arial"/>
                <w:sz w:val="14"/>
                <w:szCs w:val="14"/>
                <w:color w:val="auto"/>
              </w:rPr>
              <w:t>36,160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debt discount and debt issuance costs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12,211</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Loss (gain) on fair value adjustments</w:t>
            </w:r>
          </w:p>
        </w:tc>
        <w:tc>
          <w:tcPr>
            <w:tcW w:w="1180" w:type="dxa"/>
            <w:vAlign w:val="bottom"/>
          </w:tcPr>
          <w:p>
            <w:pPr>
              <w:jc w:val="right"/>
              <w:spacing w:after="0"/>
              <w:rPr>
                <w:sz w:val="20"/>
                <w:szCs w:val="20"/>
                <w:color w:val="auto"/>
              </w:rPr>
            </w:pPr>
            <w:r>
              <w:rPr>
                <w:rFonts w:ascii="Arial" w:cs="Arial" w:eastAsia="Arial" w:hAnsi="Arial"/>
                <w:sz w:val="14"/>
                <w:szCs w:val="14"/>
                <w:color w:val="auto"/>
              </w:rPr>
              <w:t>47,041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(12,200)</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SAFE debt issuance costs expensed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Loss on extinguishment of debt</w:t>
            </w:r>
          </w:p>
        </w:tc>
        <w:tc>
          <w:tcPr>
            <w:tcW w:w="1180" w:type="dxa"/>
            <w:vAlign w:val="bottom"/>
          </w:tcPr>
          <w:p>
            <w:pPr>
              <w:jc w:val="right"/>
              <w:spacing w:after="0"/>
              <w:rPr>
                <w:sz w:val="20"/>
                <w:szCs w:val="20"/>
                <w:color w:val="auto"/>
              </w:rPr>
            </w:pPr>
            <w:r>
              <w:rPr>
                <w:rFonts w:ascii="Arial" w:cs="Arial" w:eastAsia="Arial" w:hAnsi="Arial"/>
                <w:sz w:val="14"/>
                <w:szCs w:val="14"/>
                <w:color w:val="auto"/>
              </w:rPr>
              <w:t>117,978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Severance and executive transition costs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6,661</w:t>
            </w:r>
          </w:p>
        </w:tc>
        <w:tc>
          <w:tcPr>
            <w:tcW w:w="100" w:type="dxa"/>
            <w:vAlign w:val="bottom"/>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Restructuring costs</w:t>
            </w:r>
          </w:p>
        </w:tc>
        <w:tc>
          <w:tcPr>
            <w:tcW w:w="1180" w:type="dxa"/>
            <w:vAlign w:val="bottom"/>
          </w:tcPr>
          <w:p>
            <w:pPr>
              <w:jc w:val="right"/>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8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Non-GAAP provision for income taxes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(9,449)</w:t>
            </w:r>
          </w:p>
        </w:tc>
        <w:tc>
          <w:tcPr>
            <w:tcW w:w="100" w:type="dxa"/>
            <w:vAlign w:val="bottom"/>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147"/>
        </w:trPr>
        <w:tc>
          <w:tcPr>
            <w:tcW w:w="80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Non-GAAP net loss</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6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(96,387)</w:t>
            </w:r>
          </w:p>
        </w:tc>
        <w:tc>
          <w:tcPr>
            <w:tcW w:w="0" w:type="dxa"/>
            <w:vAlign w:val="bottom"/>
          </w:tcPr>
          <w:p>
            <w:pPr>
              <w:spacing w:after="0"/>
              <w:rPr>
                <w:sz w:val="1"/>
                <w:szCs w:val="1"/>
                <w:color w:val="auto"/>
              </w:rPr>
            </w:pPr>
          </w:p>
        </w:tc>
      </w:tr>
      <w:tr>
        <w:trPr>
          <w:trHeight w:val="170"/>
        </w:trPr>
        <w:tc>
          <w:tcPr>
            <w:tcW w:w="8440" w:type="dxa"/>
            <w:vAlign w:val="bottom"/>
            <w:gridSpan w:val="2"/>
          </w:tcPr>
          <w:p>
            <w:pPr>
              <w:ind w:left="8080"/>
              <w:spacing w:after="0"/>
              <w:rPr>
                <w:sz w:val="20"/>
                <w:szCs w:val="20"/>
                <w:color w:val="auto"/>
              </w:rPr>
            </w:pPr>
            <w:r>
              <w:rPr>
                <w:rFonts w:ascii="Arial" w:cs="Arial" w:eastAsia="Arial" w:hAnsi="Arial"/>
                <w:sz w:val="14"/>
                <w:szCs w:val="14"/>
                <w:color w:val="auto"/>
              </w:rPr>
              <w:t>$</w:t>
            </w:r>
          </w:p>
        </w:tc>
        <w:tc>
          <w:tcPr>
            <w:tcW w:w="118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Free Cash Flow</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define free cash flow, a non-GAAP financial measure, as GAAP net cash used in operating activities less cash used for investing activities for capitalized software development costs and purchases of property and equipment.</w:t>
      </w:r>
    </w:p>
    <w:p>
      <w:pPr>
        <w:sectPr>
          <w:pgSz w:w="11900" w:h="16838" w:orient="portrait"/>
          <w:cols w:equalWidth="0" w:num="1">
            <w:col w:w="11280"/>
          </w:cols>
          <w:pgMar w:left="300" w:top="2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reconciliation of GAAP operating cash flow to non-GAAP free cash flow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0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2026</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gridSpan w:val="3"/>
          </w:tcPr>
          <w:p>
            <w:pPr>
              <w:jc w:val="right"/>
              <w:ind w:right="209"/>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8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94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33,671</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(50,406)</w:t>
            </w:r>
          </w:p>
        </w:tc>
        <w:tc>
          <w:tcPr>
            <w:tcW w:w="0" w:type="dxa"/>
            <w:vAlign w:val="bottom"/>
          </w:tcPr>
          <w:p>
            <w:pPr>
              <w:spacing w:after="0"/>
              <w:rPr>
                <w:sz w:val="1"/>
                <w:szCs w:val="1"/>
                <w:color w:val="auto"/>
              </w:rPr>
            </w:pPr>
          </w:p>
        </w:tc>
      </w:tr>
      <w:tr>
        <w:trPr>
          <w:trHeight w:val="147"/>
        </w:trPr>
        <w:tc>
          <w:tcPr>
            <w:tcW w:w="806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100"/>
              <w:spacing w:after="0"/>
              <w:rPr>
                <w:sz w:val="20"/>
                <w:szCs w:val="20"/>
                <w:color w:val="auto"/>
              </w:rPr>
            </w:pPr>
            <w:r>
              <w:rPr>
                <w:rFonts w:ascii="Arial" w:cs="Arial" w:eastAsia="Arial" w:hAnsi="Arial"/>
                <w:sz w:val="14"/>
                <w:szCs w:val="14"/>
                <w:color w:val="auto"/>
              </w:rPr>
              <w:t>Less: Capitalized software development costs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(17,990)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(15,309)</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Purchases of property and equipment</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9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14,764</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(66,709)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October 2025, we completed our IPO and sold 30,000,000 shares of our Class A common stock at a public offering price of $25.00 per share, which resulted in net proceeds of $713.3 million after deducting underwriting discounts and before deducting offering costs. We recognized $81.8 million of stock-based compensation expense related to the satisfaction of the performance-based vesting condition for outstanding RSUs for which the service-based vesting conditions were fully or partially satisfied upon the IPO. To meet the related tax withholding requirements for the net settlement of the vested RSUs, we withheld 709,106 shares of Class A common stock. Based on an IPO price of $25.00 per share, our tax withholding obligation was $17.7 million which was paid during the year ended January 31, 2026.</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Since our inception, we have financed our operations primarily through sales of equity securities and debt, as well as cash generated from operations. Our principal uses of cash in recent periods have been funding our operations, investing in our business, technologies, and platform, capital expenditures, and various business acquisitions. As of January 31, 2026, our principal sources of liquidity were cash and cash equivalents of $583.5 million, which were held primarily for working capital purposes, and short-term investments of $157.0 million. Cash consisted of funds deposited with banks and a portion of the balance held with our corporate card payment processing partners that is not restricted to fund transactions charged by our corporate card users. Cash equivalents consisted of money market funds and commercial paper with an original maturity of three months or less at the date of purchase. Investments consisted of U.S. government and agency securities, commercial paper, and corporate bonds. Our investments are focused on preserving capital, maintaining sufficient liquidity for operations, and maximizing returns within our risk parameters. Our investment policy sets forth authorized investment categories, credit rating minimums, and maturity requirements. We believe these policies mitigate our exposure to any risk concentrations.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generated significant operating losses from our operations as reflected in our accumulated deficit of $2.0 billion as of January 31, 2026. We expect to continue to incur operating losses, and our operating cash flows may fluctuate between positive and negative amounts at least through the fiscal year ending January 31, 2027 due to investments we intend to make to support growth in our business. As a result, we may require additional capital resources to execute strategic initiatives to grow our business.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believe our existing cash and cash equivalents and cash provided by our operations, together with amounts available for borrowing under the Warehouse Credit Facility and the ABL Facility, will be sufficient to meet our requirements and plans for cash, including supporting working capital and capital expenditure requirements for at least the next 12 months and beyond. As of January 31, 2026, we had borrowing capacity of $ 250.0 million under the Warehouse Credit Facility, and outstanding borrowings of $118.2 million. As of January 31, 2026, we had borrowing capacity of $100.0 million under the ABL Facility, and outstanding borrowings of $6.0 million.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January 31, 2026, the convertible notes and SAFEs converted into shares of our Class A common stock in connection with the IPO, and we paid $133.7 million to settle the Vista Facility.</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our principal commitments consist of obligations under the Warehouse Credit Facility, the ABL Facility, operating leases for office space, and non-cancelable purchase commitments primarily related to cloud hosting arrangements and software subscriptions.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Obligations Extinguished in Connection with IPO</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June 2020, we issued convertible notes of $125.0 million in aggregate principal amount, net of $2.9 million in debt issuance costs, with an initial maturity of June 2025 (the “convertible notes”).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$ 43.1 million as a discount on the convertible notes’ face amount. Refer to Note 3 — Investments and Fair Value Measurements in the notes to the consolidated financial statements included elsewhere in this Annual Report on Form 10-K for additional detail regarding the embedded derivative liability.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2025, the convertible notes were presented within convertible notes on the consolidated balance sheets at their original issuance value plus PIK interest, net of the unamortized debt discount and issuance costs, and were not marked to fair value at each reporting period.</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IPO, the convertible notes automatically converted into 12,827,963 shares of Class A common stock at a 35% discount to the IPO price. The Company recognized a $84.1 million loss on the debt extinguishment. The loss on extinguishment of debt is recognized within the consolidated statements of operations during the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SAFEs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year ended January 31, 2026, we entered into simple agreements for future equity (“SAFEs”) with multiple investors in exchange for cash proceeds of $155.0 million. The SAFEs had an interest rate of 12% per annum. We issued common stock warrants to investors together with the SAFEs. The number of shares issued upon exercise of the common stock warrants was determined based on a fixed percentage of the fully diluted capitalization prior to the earliest to occur of (i) a deemed liquidation event, (ii) a liquidity event, and (iii) the date of exercise.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incurred debt issuance costs of $ 2.9 million in connection with the issuance of the SAFEs and common stock warrants, which were expensed when incurred and are presented within other income (expense), net in the accompanying consolidated statements of operations.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IPO, the SAFEs automatically converted into 7,851,008 shares of our Class A common stock at a 15% discount to the IPO price. The SAFE warrants became exercisable for a fixed number of shares, were reclassified to equity, and were exercised for 1,216,187 shares of Class A common stock in connection with the IPO.</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Vista Facility</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consolidated balance sheets as additional paid-in capital.</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IPO, we paid $133.7 million to settle the Vista Facility and recognized a $13.3 million loss on the debt extinguishment. We did not incur a prepayment penalty because we prepaid the Vista Facility in connection with a qualified IPO. The common stock warrants issued in connection with the Vista Facility were net exercised for 486,005 shares of Class A common stock in connection with the IPO.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Credit Facility</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November 2022, Liquid Labs SPV, LLC (“Liquid Labs”), our wholly-owned subsidiary, entered into a loan agreement with a group of lenders for a revolving warehouse credit facility (the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50.0% of the committed amount. Any unused portion of the Warehouse Credit Facility will bear interest of 0.50% per annum. The Warehouse Credit Facility was established to finance our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Warehouse Credit Facility was amended multiple times during the years ended January 31, 2026 and 2025. As of January 31, 2026, the amended terms of the Warehouse Credit Facility include total available borrowings of $250.0 million, an extended maturity date of February 18, 2028, minimum utilization of 40% of the committed amount, an expanded borrowing base to include receivables generated in foreign currency, and amendments to certain financial covenants.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Warehouse Credit Facility contains mandatory and optional redemption features upon an event of default and other potential additional interest provisions that are bifurcated and treated as embedded derivative liabilities under the accounting guidance Financial Accounting Standards Board Accounting Standards Codification Topic 815, Derivatives and Hedging, or ASC 815. At inception of the Warehouse Credit Facility, and as of January 31, 2026 and 2025, the fair value of the embedded derivative liabilities was determined to be immaterial.</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incurred upfront commitment fees of $2.0 million for the Warehouse Credit Facility when the agreement was executed, an incremental $1.4 million upon the execution of various amendments during the year ended January 31, 2025, and an incremental $2.8 million upon the execution of an amendment in April 2025. These upfront commitment fees were recorded as a deferred cost asset on the balance sheet and are amortized on a straight-line basis as incremental interest expense.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years ended January 31, 2026 and 2025, we drew down an aggregate of $35.0 million and $37.8 million, respectively, and we repaid $131.1 million and $30.0 million, respectively, on the Warehouse Credit Facility.</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years ended January 31, 2026 and 2025, we recognized $15.6 million and $ 22.9 million, respectively, of interest expense, comprised of $14.3 million and $21.4 million, respectively, of interest paid and payable, and $1.3 million and $1.5 million, respectively, for the amortization of debt issuance costs.</w:t>
      </w:r>
    </w:p>
    <w:p>
      <w:pPr>
        <w:spacing w:after="0" w:line="78" w:lineRule="exact"/>
        <w:rPr>
          <w:sz w:val="20"/>
          <w:szCs w:val="20"/>
          <w:color w:val="auto"/>
        </w:rPr>
      </w:pPr>
    </w:p>
    <w:p>
      <w:pPr>
        <w:ind w:right="1660"/>
        <w:spacing w:after="0" w:line="442" w:lineRule="auto"/>
        <w:rPr>
          <w:sz w:val="20"/>
          <w:szCs w:val="20"/>
          <w:color w:val="auto"/>
        </w:rPr>
      </w:pPr>
      <w:r>
        <w:rPr>
          <w:rFonts w:ascii="Arial" w:cs="Arial" w:eastAsia="Arial" w:hAnsi="Arial"/>
          <w:sz w:val="14"/>
          <w:szCs w:val="14"/>
          <w:color w:val="auto"/>
        </w:rPr>
        <w:t xml:space="preserve">We may in the future enter into additional warehouse facilities or other financing arrangements to fund the expansion of our corporate payments business. </w:t>
      </w:r>
      <w:r>
        <w:rPr>
          <w:rFonts w:ascii="Arial" w:cs="Arial" w:eastAsia="Arial" w:hAnsi="Arial"/>
          <w:sz w:val="14"/>
          <w:szCs w:val="14"/>
          <w:b w:val="1"/>
          <w:bCs w:val="1"/>
          <w:i w:val="1"/>
          <w:iCs w:val="1"/>
          <w:color w:val="auto"/>
        </w:rPr>
        <w:t>ABL Facility</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2025, the Company entered into an asset-based lending revolving line of credit with Citibank, N.A., as agent for the lenders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we had drawn a total of $6.0 million on the ABL Facility. The ABL Facility contains certain affirmative or negative covenants including, among other things, restrictions on repurchases of stock, dividends, and other distributions.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January 31, 2026, we recognized $2.9 million of interest expense, comprised of $2.4 million of interest paid and payable, and $0.5 million for the amortization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1020" w:type="dxa"/>
            <w:vAlign w:val="bottom"/>
            <w:tcBorders>
              <w:bottom w:val="single" w:sz="8" w:color="auto"/>
            </w:tcBorders>
          </w:tcPr>
          <w:p>
            <w:pPr>
              <w:spacing w:after="0"/>
              <w:rPr>
                <w:sz w:val="13"/>
                <w:szCs w:val="13"/>
                <w:color w:val="auto"/>
              </w:rPr>
            </w:pPr>
          </w:p>
        </w:tc>
      </w:tr>
      <w:tr>
        <w:trPr>
          <w:trHeight w:val="150"/>
        </w:trPr>
        <w:tc>
          <w:tcPr>
            <w:tcW w:w="78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6"/>
              <w:spacing w:after="0"/>
              <w:rPr>
                <w:sz w:val="20"/>
                <w:szCs w:val="20"/>
                <w:color w:val="auto"/>
              </w:rPr>
            </w:pPr>
            <w:r>
              <w:rPr>
                <w:rFonts w:ascii="Arial" w:cs="Arial" w:eastAsia="Arial" w:hAnsi="Arial"/>
                <w:sz w:val="11"/>
                <w:szCs w:val="11"/>
                <w:b w:val="1"/>
                <w:bCs w:val="1"/>
                <w:color w:val="auto"/>
              </w:rPr>
              <w:t>2026</w:t>
            </w:r>
          </w:p>
        </w:tc>
        <w:tc>
          <w:tcPr>
            <w:tcW w:w="7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r>
      <w:tr>
        <w:trPr>
          <w:trHeight w:val="150"/>
        </w:trPr>
        <w:tc>
          <w:tcPr>
            <w:tcW w:w="7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gridSpan w:val="2"/>
          </w:tcPr>
          <w:p>
            <w:pPr>
              <w:jc w:val="right"/>
              <w:ind w:right="229"/>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33,671</w:t>
            </w:r>
          </w:p>
        </w:tc>
        <w:tc>
          <w:tcPr>
            <w:tcW w:w="70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393"/>
              <w:spacing w:after="0"/>
              <w:rPr>
                <w:sz w:val="20"/>
                <w:szCs w:val="20"/>
                <w:color w:val="auto"/>
              </w:rPr>
            </w:pPr>
            <w:r>
              <w:rPr>
                <w:rFonts w:ascii="Arial" w:cs="Arial" w:eastAsia="Arial" w:hAnsi="Arial"/>
                <w:sz w:val="14"/>
                <w:szCs w:val="14"/>
                <w:color w:val="auto"/>
                <w:w w:val="99"/>
              </w:rPr>
              <w:t>(50,406)</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(203,032)</w:t>
            </w:r>
          </w:p>
        </w:tc>
        <w:tc>
          <w:tcPr>
            <w:tcW w:w="70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413"/>
              <w:spacing w:after="0"/>
              <w:rPr>
                <w:sz w:val="20"/>
                <w:szCs w:val="20"/>
                <w:color w:val="auto"/>
              </w:rPr>
            </w:pPr>
            <w:r>
              <w:rPr>
                <w:rFonts w:ascii="Arial" w:cs="Arial" w:eastAsia="Arial" w:hAnsi="Arial"/>
                <w:sz w:val="14"/>
                <w:szCs w:val="14"/>
                <w:color w:val="auto"/>
                <w:w w:val="97"/>
              </w:rPr>
              <w:t>44,870</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519,919</w:t>
            </w:r>
          </w:p>
        </w:tc>
        <w:tc>
          <w:tcPr>
            <w:tcW w:w="70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413"/>
              <w:spacing w:after="0"/>
              <w:rPr>
                <w:sz w:val="20"/>
                <w:szCs w:val="20"/>
                <w:color w:val="auto"/>
              </w:rPr>
            </w:pPr>
            <w:r>
              <w:rPr>
                <w:rFonts w:ascii="Arial" w:cs="Arial" w:eastAsia="Arial" w:hAnsi="Arial"/>
                <w:sz w:val="14"/>
                <w:szCs w:val="14"/>
                <w:color w:val="auto"/>
                <w:w w:val="97"/>
              </w:rPr>
              <w:t>52,554</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Net cash provided by operating activities was $33.7 million for the year ended January 31, 2026 as compared to net cash used in operating activities of $50.4 million for the year ended January 31, 2025. The increase in net cash provided was primarily due to an increase of revenue which surpassed an increase in operating and non-operating losses and expenses adjusted for non-cash items, including (i) loss on extinguishment of debt, (ii) stock-based compensation expense, (iii) loss on fair value adjustments and (iv) accelerated amortization of trade name intangible asset, partially offset by a non-recurring cash charge of $5.1 million related to severance and executive transition costs.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cash used in investing activities was $203.0 million for the year ended January 31, 2026 as compared to net cash provided by investing activities of $44.9 million for the year ended January 31, 2025. The change was primarily driven by the purchase of investments using proceeds from our IPO and our funding of customer spend activity on our corporate cards surpassing payments from customers during the year ended January 31, 2026 as compared to customer payments surpassing funding of customer spend activity during the year ended January 31, 2025. Net cash used in or provided by corporate card spend and customer payment activity will vary from period to period depending on timing and volume of activity relative to period-end.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Net cash provided by financing activities was $519.9 million for the year ended January 31, 2026 as compared to $ 52.6 million for the year ended January 31, 2025. The increase was primarily driven by the receipt of proceeds from our IPO and proceeds from debt borrowings during the year ended January 31, 2026, partially offset by payments on debt borrowings, primarily due to repayments made on the Warehouse Credit Facility, and the settlement of the 2022 Promissory Note and the Vista Facility during the year ended January 31, 2026.</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consolidated financial statements and the related notes thereto included elsewhere in this Annual Report on Form 10-K are prepared in accordance with GAAP. The preparation of consolidated financial statements requires us to make certain estimates, judgments,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financial condition or operating performance. The critical accounting estimates, assumptions, and judgments that we believe to have the most significant impact on our consolidated financial statements are described below. Refer to Note 1 ― Description of Business and Significant Accounting Policies of the notes to our consolidated financial statements included elsewhere in this Annual Report on Form 10-K for further information on our other 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We recognize revenue 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Platform Customers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Travel Supply and Payment Partner Fees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Acquisition Costs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capitalize incremental costs of obtaining a contract with a customer if the costs are recoverable. These costs, which consist of sales commissions earned at the time a platform customer enters into a contract under the terms of our sales compensation plans, are deferred and amortized on a straight-line basis over the period of benefit, which we have estimated to be five years. All other compensation earned subsequent to a customer entering into a contract, including those that may be earned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customer launch, are expensed as incurred. We estimate the period of benefit by primarily taking into consideration the average customer life and life of our technology, among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Embedded Derivative Liability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embedded derivative liability is bifurcated from the convertible notes issued in June 2020. Refer to the section titled “―Liquidity and Capital Resources―Debt Obligations Extinguished in Connection with the IPO―Convertible Notes” and in Note 8 ― Debt to the consolidated financial statements for further information regarding the convertible notes. The embedded derivative liability was measured at fair value on the date of issuance, and was remeasured to fair value each reporting period until conversion, with changes in the fair value recognized as a component of gain (loss) on fair value adjustments in the accompanying consolidated statements of operations.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Refer to Note 3 ― Investments and Fair Value Measurements to the consolidated financial statements for further information regarding the significant inputs used in measuring the fair value of the embedded derivative liability.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measure stock-based compensation expense for all stock-based awards, granted or modified, based on the estimated fair value of the award on the grant date. Stock-based compensation expense is recognized on a straight-line basis over the requisite service period for stock-based awards with only time-based service vesting conditions. Forfeitures are recognized as they occur. We estimate the grant-date fair value of stock options using the Black-Scholes option pricing model. The Black-Scholes option pricing model requires the input of highly subjective assumptions, including the fair value of the underlying common stock for options granted prior to the Company’s IPO, the expected term of the option and the expected volatility of the price of the Company’s common stock. The Black-Scholes assumptions as summarized as follows: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Fair value of common stock </w:t>
      </w:r>
      <w:r>
        <w:rPr>
          <w:rFonts w:ascii="Arial" w:cs="Arial" w:eastAsia="Arial" w:hAnsi="Arial"/>
          <w:sz w:val="14"/>
          <w:szCs w:val="14"/>
          <w:color w:val="auto"/>
        </w:rPr>
        <w:t>— Prior to the IPO, as the Company’s common stock was not yet publicly traded, the Company was required to estimate the fair value of its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as discussed in “Common Stock Valuations” below. After the Company’s IPO, the fair value is determined using the closing price of the Company’s common stock on the grant date.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Dividend Yield </w:t>
      </w:r>
      <w:r>
        <w:rPr>
          <w:rFonts w:ascii="Arial" w:cs="Arial" w:eastAsia="Arial" w:hAnsi="Arial"/>
          <w:sz w:val="14"/>
          <w:szCs w:val="14"/>
          <w:color w:val="auto"/>
        </w:rPr>
        <w:t>— The Company has never declared or paid any cash dividends and does not presently plan to pay cash dividends in the foreseeable future and applied an</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dividend yield of zero.</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Risk-Free Interest Rate </w:t>
      </w:r>
      <w:r>
        <w:rPr>
          <w:rFonts w:ascii="Arial" w:cs="Arial" w:eastAsia="Arial" w:hAnsi="Arial"/>
          <w:sz w:val="14"/>
          <w:szCs w:val="14"/>
          <w:color w:val="auto"/>
        </w:rPr>
        <w:t>— The risk-free interest rate assumption is based on the yield available on U.S. Treasury zero-coupon issues with a term that approximates the expected</w:t>
      </w:r>
      <w:r>
        <w:rPr>
          <w:rFonts w:ascii="Arial" w:cs="Arial" w:eastAsia="Arial" w:hAnsi="Arial"/>
          <w:sz w:val="14"/>
          <w:szCs w:val="14"/>
          <w:b w:val="1"/>
          <w:bCs w:val="1"/>
          <w:color w:val="auto"/>
        </w:rPr>
        <w:t xml:space="preserve"> </w:t>
      </w:r>
      <w:r>
        <w:rPr>
          <w:rFonts w:ascii="Arial" w:cs="Arial" w:eastAsia="Arial" w:hAnsi="Arial"/>
          <w:sz w:val="14"/>
          <w:szCs w:val="14"/>
          <w:color w:val="auto"/>
        </w:rPr>
        <w:t>term of the option.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Expected Volatility </w:t>
      </w:r>
      <w:r>
        <w:rPr>
          <w:rFonts w:ascii="Arial" w:cs="Arial" w:eastAsia="Arial" w:hAnsi="Arial"/>
          <w:sz w:val="14"/>
          <w:szCs w:val="14"/>
          <w:color w:val="auto"/>
        </w:rPr>
        <w:t>— As a result of the lack of historical and implied volatility data of the Company’s common stock, the expected stock price volatility has been estimated based</w:t>
      </w:r>
      <w:r>
        <w:rPr>
          <w:rFonts w:ascii="Arial" w:cs="Arial" w:eastAsia="Arial" w:hAnsi="Arial"/>
          <w:sz w:val="14"/>
          <w:szCs w:val="14"/>
          <w:b w:val="1"/>
          <w:bCs w:val="1"/>
          <w:color w:val="auto"/>
        </w:rPr>
        <w:t xml:space="preserve"> </w:t>
      </w:r>
      <w:r>
        <w:rPr>
          <w:rFonts w:ascii="Arial" w:cs="Arial" w:eastAsia="Arial" w:hAnsi="Arial"/>
          <w:sz w:val="14"/>
          <w:szCs w:val="14"/>
          <w:color w:val="auto"/>
        </w:rPr>
        <w:t>on the historical volatilities of peer group public companies for a period equivalent to the expected term of the option.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Expected term </w:t>
      </w:r>
      <w:r>
        <w:rPr>
          <w:rFonts w:ascii="Arial" w:cs="Arial" w:eastAsia="Arial" w:hAnsi="Arial"/>
          <w:sz w:val="14"/>
          <w:szCs w:val="14"/>
          <w:color w:val="auto"/>
        </w:rPr>
        <w:t>— The expected term of stock options represents the weighted-average period the stock options are expected to remain outstanding. The Company estimates the</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term based on the simplified method for employee stock options considered to be “plain vanilla” options, as our historical share option exercise experience does not provide a reasonable basis upon which to estimate the expected term. The expected term for options issued to non-employees is the contractual term.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Purchase Plan (“ESPP”)</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recognize stock-based compensation expense related to shares issued pursuant to our ESPP on a straight-line basis over the offering period. The ESPP provides for offering periods of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twelve-months, and each offering period includes two purchase periods of approximately six months. The ESPP allows eligible employees to purchase shares of our common stock at a 15 percent discount on the lower of the stock price on either (i) the date the offering period begins or (ii) the purchase date. We estimate the fair value of shares to be issued under the ESPP based on a combination of options valued using the Black-Scholes option-pricing model. We determine volatility over an expected term of approximately six months and twelve months based on the historical volatilities of a peer group of public companies due to the lack of historical and implied volatility data of our common stock. We estimate the expected term based on the contractual term.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fair value of the shares of common stock underlying stock options and RSUs has historically been determined by the board of directors as there was no public market for the Company’s common stock prior to the effectiveness of the Company’s IPO. The board of directors determined the fair value of the Company’s common stock by considering a number of objective and subjective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the current condition of capital markets and the likelihood of achieving a liquidity event, such as an initial public offering or sale of the Company, and the lack of marketability of the Company’s common stock, amongst other factors.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 Accounting Election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an "emerging growth company" under the Jumpstart Our Business Startups Act of 2012, as amended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consolidated financial statements may not be comparable to companies that comply with new or revised accounting pronouncements applicable to public companies.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 1 ― Description of Business and Significant Accounting Policies in the notes to the consolidated financial statements included elsewhere 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gains (losses) of $11.6 million and $(4.7) million for the years ended January 31, 2026 and 2025 in other income (expense), net.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2026, we had cash, cash equivalents and short-term investments of $740.5 million. Cash, cash equivalents, and our investments consist of cash in banks and interest-bearing money market accounts, money market funds, U.S. government and agency securities, commercial paper, and corporate bonds. Our cash, cash equivalents, and short-investments are held for working capital and general corporate purposes. We do not enter into investments for trading or speculative purposes. Our investments are exposed to market risk due to fluctuations in interest rates, which may affect our interest income. However, due to the low-risk profile of our investments, an immediate 10% change in interest rates would not have a material effect on the fair market value of our cash, cash equivalents and investments.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January 31, 2026, a hypothetical 10% relative change in interest rates would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9880" w:type="dxa"/>
            <w:vAlign w:val="bottom"/>
            <w:gridSpan w:val="8"/>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563"/>
        </w:trPr>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80" w:type="dxa"/>
            <w:vAlign w:val="bottom"/>
            <w:gridSpan w:val="3"/>
          </w:tcPr>
          <w:p>
            <w:pPr>
              <w:ind w:left="40"/>
              <w:spacing w:after="0"/>
              <w:rPr>
                <w:sz w:val="20"/>
                <w:szCs w:val="20"/>
                <w:color w:val="auto"/>
              </w:rPr>
            </w:pPr>
            <w:r>
              <w:rPr>
                <w:rFonts w:ascii="Arial" w:cs="Arial" w:eastAsia="Arial" w:hAnsi="Arial"/>
                <w:sz w:val="14"/>
                <w:szCs w:val="14"/>
                <w:b w:val="1"/>
                <w:bCs w:val="1"/>
                <w:color w:val="auto"/>
              </w:rPr>
              <w:t>INDEX TO CONSOLIDATED FINANCIAL STATEMENTS</w:t>
            </w:r>
          </w:p>
        </w:tc>
        <w:tc>
          <w:tcPr>
            <w:tcW w:w="70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Page</w:t>
            </w:r>
          </w:p>
        </w:tc>
      </w:tr>
      <w:tr>
        <w:trPr>
          <w:trHeight w:val="341"/>
        </w:trPr>
        <w:tc>
          <w:tcPr>
            <w:tcW w:w="9880" w:type="dxa"/>
            <w:vAlign w:val="bottom"/>
            <w:gridSpan w:val="8"/>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700" w:type="dxa"/>
            <w:vAlign w:val="bottom"/>
            <w:gridSpan w:val="3"/>
          </w:tcPr>
          <w:p>
            <w:pPr>
              <w:ind w:left="240"/>
              <w:spacing w:after="0"/>
              <w:rPr>
                <w:sz w:val="20"/>
                <w:szCs w:val="20"/>
                <w:color w:val="auto"/>
              </w:rPr>
            </w:pPr>
            <w:r>
              <w:rPr>
                <w:rFonts w:ascii="Arial" w:cs="Arial" w:eastAsia="Arial" w:hAnsi="Arial"/>
                <w:sz w:val="14"/>
                <w:szCs w:val="14"/>
                <w:color w:val="0000FF"/>
              </w:rPr>
              <w:t>104</w:t>
            </w: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4"/>
                <w:szCs w:val="14"/>
                <w:color w:val="0000FF"/>
              </w:rPr>
              <w:t>Consolidated Balance Sheets</w:t>
            </w:r>
          </w:p>
        </w:tc>
        <w:tc>
          <w:tcPr>
            <w:tcW w:w="1760" w:type="dxa"/>
            <w:vAlign w:val="bottom"/>
            <w:gridSpan w:val="5"/>
          </w:tcPr>
          <w:p>
            <w:pPr>
              <w:spacing w:after="0"/>
              <w:rPr>
                <w:sz w:val="13"/>
                <w:szCs w:val="13"/>
                <w:color w:val="auto"/>
              </w:rPr>
            </w:pPr>
          </w:p>
        </w:tc>
        <w:tc>
          <w:tcPr>
            <w:tcW w:w="6260" w:type="dxa"/>
            <w:vAlign w:val="bottom"/>
            <w:gridSpan w:val="2"/>
          </w:tcPr>
          <w:p>
            <w:pPr>
              <w:spacing w:after="0"/>
              <w:rPr>
                <w:sz w:val="13"/>
                <w:szCs w:val="13"/>
                <w:color w:val="auto"/>
              </w:rPr>
            </w:pPr>
          </w:p>
        </w:tc>
        <w:tc>
          <w:tcPr>
            <w:tcW w:w="700" w:type="dxa"/>
            <w:vAlign w:val="bottom"/>
            <w:gridSpan w:val="3"/>
          </w:tcPr>
          <w:p>
            <w:pPr>
              <w:ind w:left="240"/>
              <w:spacing w:after="0"/>
              <w:rPr>
                <w:sz w:val="20"/>
                <w:szCs w:val="20"/>
                <w:color w:val="auto"/>
              </w:rPr>
            </w:pPr>
            <w:r>
              <w:rPr>
                <w:rFonts w:ascii="Arial" w:cs="Arial" w:eastAsia="Arial" w:hAnsi="Arial"/>
                <w:sz w:val="14"/>
                <w:szCs w:val="14"/>
                <w:color w:val="3051F2"/>
              </w:rPr>
              <w:t>105</w:t>
            </w: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r>
      <w:tr>
        <w:trPr>
          <w:trHeight w:val="160"/>
        </w:trPr>
        <w:tc>
          <w:tcPr>
            <w:tcW w:w="988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w:t>
            </w:r>
          </w:p>
        </w:tc>
        <w:tc>
          <w:tcPr>
            <w:tcW w:w="700" w:type="dxa"/>
            <w:vAlign w:val="bottom"/>
            <w:gridSpan w:val="3"/>
          </w:tcPr>
          <w:p>
            <w:pPr>
              <w:ind w:left="240"/>
              <w:spacing w:after="0"/>
              <w:rPr>
                <w:sz w:val="20"/>
                <w:szCs w:val="20"/>
                <w:color w:val="auto"/>
              </w:rPr>
            </w:pPr>
            <w:r>
              <w:rPr>
                <w:rFonts w:ascii="Arial" w:cs="Arial" w:eastAsia="Arial" w:hAnsi="Arial"/>
                <w:sz w:val="14"/>
                <w:szCs w:val="14"/>
                <w:color w:val="3051F2"/>
              </w:rPr>
              <w:t>107</w:t>
            </w:r>
          </w:p>
        </w:tc>
      </w:tr>
      <w:tr>
        <w:trPr>
          <w:trHeight w:val="20"/>
        </w:trPr>
        <w:tc>
          <w:tcPr>
            <w:tcW w:w="2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r>
      <w:tr>
        <w:trPr>
          <w:trHeight w:val="160"/>
        </w:trPr>
        <w:tc>
          <w:tcPr>
            <w:tcW w:w="9880" w:type="dxa"/>
            <w:vAlign w:val="bottom"/>
            <w:gridSpan w:val="8"/>
          </w:tcPr>
          <w:p>
            <w:pPr>
              <w:spacing w:after="0"/>
              <w:rPr>
                <w:sz w:val="20"/>
                <w:szCs w:val="20"/>
                <w:color w:val="auto"/>
              </w:rPr>
            </w:pPr>
            <w:r>
              <w:rPr>
                <w:rFonts w:ascii="Arial" w:cs="Arial" w:eastAsia="Arial" w:hAnsi="Arial"/>
                <w:sz w:val="14"/>
                <w:szCs w:val="14"/>
                <w:color w:val="0000FF"/>
              </w:rPr>
              <w:t>Consolidated Statements of Comprehensive Loss</w:t>
            </w:r>
          </w:p>
        </w:tc>
        <w:tc>
          <w:tcPr>
            <w:tcW w:w="700" w:type="dxa"/>
            <w:vAlign w:val="bottom"/>
            <w:gridSpan w:val="3"/>
          </w:tcPr>
          <w:p>
            <w:pPr>
              <w:ind w:left="240"/>
              <w:spacing w:after="0"/>
              <w:rPr>
                <w:sz w:val="20"/>
                <w:szCs w:val="20"/>
                <w:color w:val="auto"/>
              </w:rPr>
            </w:pPr>
            <w:r>
              <w:rPr>
                <w:rFonts w:ascii="Arial" w:cs="Arial" w:eastAsia="Arial" w:hAnsi="Arial"/>
                <w:sz w:val="14"/>
                <w:szCs w:val="14"/>
                <w:color w:val="3051F2"/>
              </w:rPr>
              <w:t>108</w:t>
            </w: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r>
      <w:tr>
        <w:trPr>
          <w:trHeight w:val="160"/>
        </w:trPr>
        <w:tc>
          <w:tcPr>
            <w:tcW w:w="6480" w:type="dxa"/>
            <w:vAlign w:val="bottom"/>
            <w:gridSpan w:val="7"/>
          </w:tcPr>
          <w:p>
            <w:pPr>
              <w:spacing w:after="0"/>
              <w:rPr>
                <w:sz w:val="20"/>
                <w:szCs w:val="20"/>
                <w:color w:val="auto"/>
              </w:rPr>
            </w:pPr>
            <w:r>
              <w:rPr>
                <w:rFonts w:ascii="Arial" w:cs="Arial" w:eastAsia="Arial" w:hAnsi="Arial"/>
                <w:sz w:val="14"/>
                <w:szCs w:val="14"/>
                <w:color w:val="0000FF"/>
              </w:rPr>
              <w:t>Consolidated Statements of Redeemable Convertible Preferred Stock and Stockholders’ Equity (Deficit)</w:t>
            </w:r>
          </w:p>
        </w:tc>
        <w:tc>
          <w:tcPr>
            <w:tcW w:w="3400" w:type="dxa"/>
            <w:vAlign w:val="bottom"/>
          </w:tcPr>
          <w:p>
            <w:pPr>
              <w:spacing w:after="0"/>
              <w:rPr>
                <w:sz w:val="13"/>
                <w:szCs w:val="13"/>
                <w:color w:val="auto"/>
              </w:rPr>
            </w:pPr>
          </w:p>
        </w:tc>
        <w:tc>
          <w:tcPr>
            <w:tcW w:w="700" w:type="dxa"/>
            <w:vAlign w:val="bottom"/>
            <w:gridSpan w:val="3"/>
          </w:tcPr>
          <w:p>
            <w:pPr>
              <w:ind w:left="240"/>
              <w:spacing w:after="0"/>
              <w:rPr>
                <w:sz w:val="20"/>
                <w:szCs w:val="20"/>
                <w:color w:val="auto"/>
              </w:rPr>
            </w:pPr>
            <w:r>
              <w:rPr>
                <w:rFonts w:ascii="Arial" w:cs="Arial" w:eastAsia="Arial" w:hAnsi="Arial"/>
                <w:sz w:val="14"/>
                <w:szCs w:val="14"/>
                <w:color w:val="3051F2"/>
              </w:rPr>
              <w:t>109</w:t>
            </w:r>
          </w:p>
        </w:tc>
      </w:tr>
      <w:tr>
        <w:trPr>
          <w:trHeight w:val="160"/>
        </w:trPr>
        <w:tc>
          <w:tcPr>
            <w:tcW w:w="252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Consolidated Statements of Cash Flows</w:t>
            </w:r>
          </w:p>
        </w:tc>
        <w:tc>
          <w:tcPr>
            <w:tcW w:w="3960" w:type="dxa"/>
            <w:vAlign w:val="bottom"/>
            <w:tcBorders>
              <w:top w:val="single" w:sz="8" w:color="0000FF"/>
            </w:tcBorders>
            <w:gridSpan w:val="4"/>
          </w:tcPr>
          <w:p>
            <w:pPr>
              <w:spacing w:after="0"/>
              <w:rPr>
                <w:sz w:val="13"/>
                <w:szCs w:val="13"/>
                <w:color w:val="auto"/>
              </w:rPr>
            </w:pPr>
          </w:p>
        </w:tc>
        <w:tc>
          <w:tcPr>
            <w:tcW w:w="3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3051F2"/>
            </w:tcBorders>
          </w:tcPr>
          <w:p>
            <w:pPr>
              <w:spacing w:after="0"/>
              <w:rPr>
                <w:sz w:val="20"/>
                <w:szCs w:val="20"/>
                <w:color w:val="auto"/>
              </w:rPr>
            </w:pPr>
            <w:r>
              <w:rPr>
                <w:rFonts w:ascii="Arial" w:cs="Arial" w:eastAsia="Arial" w:hAnsi="Arial"/>
                <w:sz w:val="13"/>
                <w:szCs w:val="13"/>
                <w:color w:val="3051F2"/>
                <w:w w:val="73"/>
              </w:rPr>
              <w:t>110</w:t>
            </w:r>
          </w:p>
        </w:tc>
        <w:tc>
          <w:tcPr>
            <w:tcW w:w="240" w:type="dxa"/>
            <w:vAlign w:val="bottom"/>
          </w:tcPr>
          <w:p>
            <w:pPr>
              <w:spacing w:after="0"/>
              <w:rPr>
                <w:sz w:val="13"/>
                <w:szCs w:val="13"/>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0"/>
        </w:trPr>
        <w:tc>
          <w:tcPr>
            <w:tcW w:w="9880" w:type="dxa"/>
            <w:vAlign w:val="bottom"/>
            <w:gridSpan w:val="8"/>
          </w:tcPr>
          <w:p>
            <w:pPr>
              <w:spacing w:after="0"/>
              <w:rPr>
                <w:sz w:val="20"/>
                <w:szCs w:val="20"/>
                <w:color w:val="auto"/>
              </w:rPr>
            </w:pPr>
            <w:r>
              <w:rPr>
                <w:rFonts w:ascii="Arial" w:cs="Arial" w:eastAsia="Arial" w:hAnsi="Arial"/>
                <w:sz w:val="14"/>
                <w:szCs w:val="14"/>
                <w:color w:val="0000FF"/>
              </w:rPr>
              <w:t>Notes to Consolidated Financial Statements</w:t>
            </w:r>
          </w:p>
        </w:tc>
        <w:tc>
          <w:tcPr>
            <w:tcW w:w="460" w:type="dxa"/>
            <w:vAlign w:val="bottom"/>
            <w:gridSpan w:val="2"/>
          </w:tcPr>
          <w:p>
            <w:pPr>
              <w:ind w:left="240"/>
              <w:spacing w:after="0"/>
              <w:rPr>
                <w:sz w:val="20"/>
                <w:szCs w:val="20"/>
                <w:color w:val="auto"/>
              </w:rPr>
            </w:pPr>
            <w:r>
              <w:rPr>
                <w:rFonts w:ascii="Arial" w:cs="Arial" w:eastAsia="Arial" w:hAnsi="Arial"/>
                <w:sz w:val="14"/>
                <w:szCs w:val="14"/>
                <w:color w:val="3051F2"/>
                <w:w w:val="76"/>
              </w:rPr>
              <w:t>112</w:t>
            </w:r>
          </w:p>
        </w:tc>
        <w:tc>
          <w:tcPr>
            <w:tcW w:w="240" w:type="dxa"/>
            <w:vAlign w:val="bottom"/>
          </w:tcPr>
          <w:p>
            <w:pPr>
              <w:spacing w:after="0"/>
              <w:rPr>
                <w:sz w:val="13"/>
                <w:szCs w:val="13"/>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209" w:right="65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Navan, Inc.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Navan, Inc. and its subsidiaries (the "Company") as of January 31, 2026 and 2025, and the related consolidated statements of operations, of comprehensive loss, of redeemable convertible preferred stock and stockholders' equity (deficit) and of cash flows for each of the three years in the period ended January 31, 2026, including the related notes (collectively referred to as the "consolidated financial statements"). In our opinion, the consolidated financial statements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NAVAN,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par value and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r>
      <w:tr>
        <w:trPr>
          <w:trHeight w:val="150"/>
        </w:trPr>
        <w:tc>
          <w:tcPr>
            <w:tcW w:w="78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r>
      <w:tr>
        <w:trPr>
          <w:trHeight w:val="161"/>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w:t>
            </w:r>
          </w:p>
        </w:tc>
        <w:tc>
          <w:tcPr>
            <w:tcW w:w="100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583,516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157,672</w:t>
            </w:r>
          </w:p>
        </w:tc>
      </w:tr>
      <w:tr>
        <w:trPr>
          <w:trHeight w:val="178"/>
        </w:trPr>
        <w:tc>
          <w:tcPr>
            <w:tcW w:w="7840" w:type="dxa"/>
            <w:vAlign w:val="bottom"/>
          </w:tcPr>
          <w:p>
            <w:pPr>
              <w:ind w:left="220"/>
              <w:spacing w:after="0"/>
              <w:rPr>
                <w:sz w:val="20"/>
                <w:szCs w:val="20"/>
                <w:color w:val="auto"/>
              </w:rPr>
            </w:pPr>
            <w:r>
              <w:rPr>
                <w:rFonts w:ascii="Arial" w:cs="Arial" w:eastAsia="Arial" w:hAnsi="Arial"/>
                <w:sz w:val="13"/>
                <w:szCs w:val="13"/>
                <w:color w:val="auto"/>
              </w:rPr>
              <w:t>Restricted cash, current</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79,647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148,157</w:t>
            </w: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Short-term investments</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156,994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840" w:type="dxa"/>
            <w:vAlign w:val="bottom"/>
          </w:tcPr>
          <w:p>
            <w:pPr>
              <w:ind w:left="220"/>
              <w:spacing w:after="0"/>
              <w:rPr>
                <w:sz w:val="20"/>
                <w:szCs w:val="20"/>
                <w:color w:val="auto"/>
              </w:rPr>
            </w:pPr>
            <w:r>
              <w:rPr>
                <w:rFonts w:ascii="Arial" w:cs="Arial" w:eastAsia="Arial" w:hAnsi="Arial"/>
                <w:sz w:val="13"/>
                <w:szCs w:val="13"/>
                <w:color w:val="auto"/>
              </w:rPr>
              <w:t>Accounts receivable, net</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215,941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184,856</w:t>
            </w: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Corporate card receivables, net</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157,755</w:t>
            </w:r>
          </w:p>
        </w:tc>
      </w:tr>
      <w:tr>
        <w:trPr>
          <w:trHeight w:val="178"/>
        </w:trPr>
        <w:tc>
          <w:tcPr>
            <w:tcW w:w="7840" w:type="dxa"/>
            <w:vAlign w:val="bottom"/>
          </w:tcPr>
          <w:p>
            <w:pPr>
              <w:ind w:left="220"/>
              <w:spacing w:after="0"/>
              <w:rPr>
                <w:sz w:val="20"/>
                <w:szCs w:val="20"/>
                <w:color w:val="auto"/>
              </w:rPr>
            </w:pPr>
            <w:r>
              <w:rPr>
                <w:rFonts w:ascii="Arial" w:cs="Arial" w:eastAsia="Arial" w:hAnsi="Arial"/>
                <w:sz w:val="13"/>
                <w:szCs w:val="13"/>
                <w:color w:val="auto"/>
              </w:rPr>
              <w:t>Contract acquisition costs, current</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9,466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4,784</w:t>
            </w: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55,241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35,628</w:t>
            </w:r>
          </w:p>
        </w:tc>
      </w:tr>
      <w:tr>
        <w:trPr>
          <w:trHeight w:val="169"/>
        </w:trPr>
        <w:tc>
          <w:tcPr>
            <w:tcW w:w="7840" w:type="dxa"/>
            <w:vAlign w:val="bottom"/>
          </w:tcPr>
          <w:p>
            <w:pPr>
              <w:ind w:left="280"/>
              <w:spacing w:after="0"/>
              <w:rPr>
                <w:sz w:val="20"/>
                <w:szCs w:val="20"/>
                <w:color w:val="auto"/>
              </w:rPr>
            </w:pPr>
            <w:r>
              <w:rPr>
                <w:rFonts w:ascii="Arial" w:cs="Arial" w:eastAsia="Arial" w:hAnsi="Arial"/>
                <w:sz w:val="13"/>
                <w:szCs w:val="13"/>
                <w:color w:val="auto"/>
              </w:rPr>
              <w:t>Total current assets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1,306,987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688,852</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non-current</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4,766</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Contract acquisition costs, non-current</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16,185</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43,430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48,006</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Property, equipment, and software, net</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35,028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29,538</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55,633</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Goodwill</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241,309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219,728</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28,645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21,246</w:t>
            </w:r>
          </w:p>
        </w:tc>
      </w:tr>
      <w:tr>
        <w:trPr>
          <w:trHeight w:val="173"/>
        </w:trPr>
        <w:tc>
          <w:tcPr>
            <w:tcW w:w="7840" w:type="dxa"/>
            <w:vAlign w:val="bottom"/>
          </w:tcPr>
          <w:p>
            <w:pPr>
              <w:ind w:left="280"/>
              <w:spacing w:after="0"/>
              <w:rPr>
                <w:sz w:val="20"/>
                <w:szCs w:val="20"/>
                <w:color w:val="auto"/>
              </w:rPr>
            </w:pPr>
            <w:r>
              <w:rPr>
                <w:rFonts w:ascii="Arial" w:cs="Arial" w:eastAsia="Arial" w:hAnsi="Arial"/>
                <w:sz w:val="13"/>
                <w:szCs w:val="13"/>
                <w:color w:val="auto"/>
              </w:rPr>
              <w:t>Total assets</w:t>
            </w:r>
          </w:p>
        </w:tc>
        <w:tc>
          <w:tcPr>
            <w:tcW w:w="1000" w:type="dxa"/>
            <w:vAlign w:val="bottom"/>
            <w:tcBorders>
              <w:bottom w:val="single" w:sz="8" w:color="auto"/>
            </w:tcBorders>
          </w:tcPr>
          <w:p>
            <w:pPr>
              <w:jc w:val="right"/>
              <w:ind w:right="83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1,708,761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1,083,954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78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1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w:t>
            </w:r>
          </w:p>
        </w:tc>
        <w:tc>
          <w:tcPr>
            <w:tcW w:w="100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65,939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42,829</w:t>
            </w:r>
          </w:p>
        </w:tc>
      </w:tr>
      <w:tr>
        <w:trPr>
          <w:trHeight w:val="178"/>
        </w:trPr>
        <w:tc>
          <w:tcPr>
            <w:tcW w:w="7840" w:type="dxa"/>
            <w:vAlign w:val="bottom"/>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197,253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136,798</w:t>
            </w: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Notes payable, current</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175,913</w:t>
            </w:r>
          </w:p>
        </w:tc>
      </w:tr>
      <w:tr>
        <w:trPr>
          <w:trHeight w:val="178"/>
        </w:trPr>
        <w:tc>
          <w:tcPr>
            <w:tcW w:w="7840" w:type="dxa"/>
            <w:vAlign w:val="bottom"/>
          </w:tcPr>
          <w:p>
            <w:pPr>
              <w:ind w:left="220"/>
              <w:spacing w:after="0"/>
              <w:rPr>
                <w:sz w:val="20"/>
                <w:szCs w:val="20"/>
                <w:color w:val="auto"/>
              </w:rPr>
            </w:pPr>
            <w:r>
              <w:rPr>
                <w:rFonts w:ascii="Arial" w:cs="Arial" w:eastAsia="Arial" w:hAnsi="Arial"/>
                <w:sz w:val="13"/>
                <w:szCs w:val="13"/>
                <w:color w:val="auto"/>
              </w:rPr>
              <w:t>Trade loan facility</w:t>
            </w:r>
          </w:p>
        </w:tc>
        <w:tc>
          <w:tcPr>
            <w:tcW w:w="10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45,000</w:t>
            </w:r>
          </w:p>
        </w:tc>
      </w:tr>
      <w:tr>
        <w:trPr>
          <w:trHeight w:val="183"/>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 current</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11,389</w:t>
            </w:r>
          </w:p>
        </w:tc>
      </w:tr>
      <w:tr>
        <w:trPr>
          <w:trHeight w:val="178"/>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Deferred revenue, current</w:t>
            </w:r>
          </w:p>
        </w:tc>
        <w:tc>
          <w:tcPr>
            <w:tcW w:w="1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45,187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34,097</w:t>
            </w:r>
          </w:p>
        </w:tc>
      </w:tr>
      <w:tr>
        <w:trPr>
          <w:trHeight w:val="173"/>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320,936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446,026</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Operating lease liabilities, non-current</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37,587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43,098</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w:t>
            </w:r>
          </w:p>
        </w:tc>
        <w:tc>
          <w:tcPr>
            <w:tcW w:w="10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182,394</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Embedded derivative liability</w:t>
            </w:r>
          </w:p>
        </w:tc>
        <w:tc>
          <w:tcPr>
            <w:tcW w:w="10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59,820</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ABL facility</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Warehouse credit facility</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118,174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214,238</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Notes payable, non-current</w:t>
            </w: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r>
      <w:tr>
        <w:trPr>
          <w:trHeight w:val="178"/>
        </w:trPr>
        <w:tc>
          <w:tcPr>
            <w:tcW w:w="784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10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813</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17,966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-4156075</wp:posOffset>
            </wp:positionV>
            <wp:extent cx="6985"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985" cy="114300"/>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-4156075</wp:posOffset>
            </wp:positionV>
            <wp:extent cx="6985"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985"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4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9"/>
        </w:trPr>
        <w:tc>
          <w:tcPr>
            <w:tcW w:w="78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liabilities</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500,700</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969,732</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13)</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840" w:type="dxa"/>
            <w:vAlign w:val="bottom"/>
          </w:tcPr>
          <w:p>
            <w:pPr>
              <w:ind w:left="20"/>
              <w:spacing w:after="0" w:line="132" w:lineRule="exact"/>
              <w:rPr>
                <w:sz w:val="20"/>
                <w:szCs w:val="20"/>
                <w:color w:val="auto"/>
              </w:rPr>
            </w:pPr>
            <w:r>
              <w:rPr>
                <w:rFonts w:ascii="Arial" w:cs="Arial" w:eastAsia="Arial" w:hAnsi="Arial"/>
                <w:sz w:val="13"/>
                <w:szCs w:val="13"/>
                <w:color w:val="auto"/>
              </w:rPr>
              <w:t>Redeemable convertible preferred stock, par value $0.00000625: No shares authorized, issued, and outstanding as of January 31,</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40" w:type="dxa"/>
            <w:vAlign w:val="bottom"/>
          </w:tcPr>
          <w:p>
            <w:pPr>
              <w:ind w:left="220"/>
              <w:spacing w:after="0" w:line="134" w:lineRule="exact"/>
              <w:rPr>
                <w:sz w:val="20"/>
                <w:szCs w:val="20"/>
                <w:color w:val="auto"/>
              </w:rPr>
            </w:pPr>
            <w:r>
              <w:rPr>
                <w:rFonts w:ascii="Arial" w:cs="Arial" w:eastAsia="Arial" w:hAnsi="Arial"/>
                <w:sz w:val="13"/>
                <w:szCs w:val="13"/>
                <w:color w:val="auto"/>
              </w:rPr>
              <w:t>2026. 157,027,585 shares authorized, 146,360,207 shares issued and outstanding as of January 31, 2025 (aggregate</w:t>
            </w:r>
          </w:p>
        </w:tc>
        <w:tc>
          <w:tcPr>
            <w:tcW w:w="98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1,301,121</w:t>
            </w:r>
          </w:p>
        </w:tc>
        <w:tc>
          <w:tcPr>
            <w:tcW w:w="0" w:type="dxa"/>
            <w:vAlign w:val="bottom"/>
          </w:tcPr>
          <w:p>
            <w:pPr>
              <w:spacing w:after="0"/>
              <w:rPr>
                <w:sz w:val="1"/>
                <w:szCs w:val="1"/>
                <w:color w:val="auto"/>
              </w:rPr>
            </w:pPr>
          </w:p>
        </w:tc>
      </w:tr>
      <w:tr>
        <w:trPr>
          <w:trHeight w:val="178"/>
        </w:trPr>
        <w:tc>
          <w:tcPr>
            <w:tcW w:w="7840" w:type="dxa"/>
            <w:vAlign w:val="bottom"/>
          </w:tcPr>
          <w:p>
            <w:pPr>
              <w:ind w:left="220"/>
              <w:spacing w:after="0"/>
              <w:rPr>
                <w:sz w:val="20"/>
                <w:szCs w:val="20"/>
                <w:color w:val="auto"/>
              </w:rPr>
            </w:pPr>
            <w:r>
              <w:rPr>
                <w:rFonts w:ascii="Arial" w:cs="Arial" w:eastAsia="Arial" w:hAnsi="Arial"/>
                <w:sz w:val="13"/>
                <w:szCs w:val="13"/>
                <w:color w:val="auto"/>
              </w:rPr>
              <w:t>liquidation preference of $1,301,402)</w:t>
            </w:r>
          </w:p>
        </w:tc>
        <w:tc>
          <w:tcPr>
            <w:tcW w:w="9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 (deficit)</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7840" w:type="dxa"/>
            <w:vAlign w:val="bottom"/>
          </w:tcPr>
          <w:p>
            <w:pPr>
              <w:ind w:left="140"/>
              <w:spacing w:after="0" w:line="132" w:lineRule="exact"/>
              <w:rPr>
                <w:sz w:val="20"/>
                <w:szCs w:val="20"/>
                <w:color w:val="auto"/>
              </w:rPr>
            </w:pPr>
            <w:r>
              <w:rPr>
                <w:rFonts w:ascii="Arial" w:cs="Arial" w:eastAsia="Arial" w:hAnsi="Arial"/>
                <w:sz w:val="13"/>
                <w:szCs w:val="13"/>
                <w:color w:val="auto"/>
              </w:rPr>
              <w:t>Preferred stock, par value $0.00000625 per share: 20,000,000 shares authorized, no shares issued and outstanding as of</w:t>
            </w:r>
          </w:p>
        </w:tc>
        <w:tc>
          <w:tcPr>
            <w:tcW w:w="98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840" w:type="dxa"/>
            <w:vAlign w:val="bottom"/>
          </w:tcPr>
          <w:p>
            <w:pPr>
              <w:ind w:left="340"/>
              <w:spacing w:after="0"/>
              <w:rPr>
                <w:sz w:val="20"/>
                <w:szCs w:val="20"/>
                <w:color w:val="auto"/>
              </w:rPr>
            </w:pPr>
            <w:r>
              <w:rPr>
                <w:rFonts w:ascii="Arial" w:cs="Arial" w:eastAsia="Arial" w:hAnsi="Arial"/>
                <w:sz w:val="13"/>
                <w:szCs w:val="13"/>
                <w:color w:val="auto"/>
              </w:rPr>
              <w:t>January 31, 2026. No shares authorized, issued, and outstanding as of January 31, 2025</w:t>
            </w:r>
          </w:p>
        </w:tc>
        <w:tc>
          <w:tcPr>
            <w:tcW w:w="9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7840" w:type="dxa"/>
            <w:vAlign w:val="bottom"/>
            <w:shd w:val="clear" w:color="auto" w:fill="CCEEFF"/>
          </w:tcPr>
          <w:p>
            <w:pPr>
              <w:ind w:left="140"/>
              <w:spacing w:after="0" w:line="132" w:lineRule="exact"/>
              <w:rPr>
                <w:sz w:val="20"/>
                <w:szCs w:val="20"/>
                <w:color w:val="auto"/>
              </w:rPr>
            </w:pPr>
            <w:r>
              <w:rPr>
                <w:rFonts w:ascii="Arial" w:cs="Arial" w:eastAsia="Arial" w:hAnsi="Arial"/>
                <w:sz w:val="13"/>
                <w:szCs w:val="13"/>
                <w:color w:val="auto"/>
              </w:rPr>
              <w:t>Class A common stock, par value $0.00000625 per share: 2,000,000,000 shares authorized, 233,870,081 shares issued and</w:t>
            </w: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84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outstanding as of January 31, 2026. 253,919,000 shares authorized, 45,782,871 shares issued and outstanding as of January</w:t>
            </w:r>
          </w:p>
        </w:tc>
        <w:tc>
          <w:tcPr>
            <w:tcW w:w="9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31, 2025</w:t>
            </w:r>
          </w:p>
        </w:tc>
        <w:tc>
          <w:tcPr>
            <w:tcW w:w="9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7840" w:type="dxa"/>
            <w:vAlign w:val="bottom"/>
          </w:tcPr>
          <w:p>
            <w:pPr>
              <w:ind w:left="140"/>
              <w:spacing w:after="0" w:line="132" w:lineRule="exact"/>
              <w:rPr>
                <w:sz w:val="20"/>
                <w:szCs w:val="20"/>
                <w:color w:val="auto"/>
              </w:rPr>
            </w:pPr>
            <w:r>
              <w:rPr>
                <w:rFonts w:ascii="Arial" w:cs="Arial" w:eastAsia="Arial" w:hAnsi="Arial"/>
                <w:sz w:val="13"/>
                <w:szCs w:val="13"/>
                <w:color w:val="auto"/>
              </w:rPr>
              <w:t>Class B common stock, par value $0.00000625 per share: 50,000,000 shares authorized, 15,304,696 shares issued and</w:t>
            </w:r>
          </w:p>
        </w:tc>
        <w:tc>
          <w:tcPr>
            <w:tcW w:w="98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840" w:type="dxa"/>
            <w:vAlign w:val="bottom"/>
          </w:tcPr>
          <w:p>
            <w:pPr>
              <w:ind w:left="340"/>
              <w:spacing w:after="0"/>
              <w:rPr>
                <w:sz w:val="20"/>
                <w:szCs w:val="20"/>
                <w:color w:val="auto"/>
              </w:rPr>
            </w:pPr>
            <w:r>
              <w:rPr>
                <w:rFonts w:ascii="Arial" w:cs="Arial" w:eastAsia="Arial" w:hAnsi="Arial"/>
                <w:sz w:val="13"/>
                <w:szCs w:val="13"/>
                <w:color w:val="auto"/>
              </w:rPr>
              <w:t>outstanding as of January 31, 2026. No shares authorized, issued, and outstanding as of January 31, 2025</w:t>
            </w:r>
          </w:p>
        </w:tc>
        <w:tc>
          <w:tcPr>
            <w:tcW w:w="9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3,226,427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467,835</w:t>
            </w:r>
          </w:p>
        </w:tc>
        <w:tc>
          <w:tcPr>
            <w:tcW w:w="0" w:type="dxa"/>
            <w:vAlign w:val="bottom"/>
          </w:tcPr>
          <w:p>
            <w:pPr>
              <w:spacing w:after="0"/>
              <w:rPr>
                <w:sz w:val="1"/>
                <w:szCs w:val="1"/>
                <w:color w:val="auto"/>
              </w:rPr>
            </w:pPr>
          </w:p>
        </w:tc>
      </w:tr>
      <w:tr>
        <w:trPr>
          <w:trHeight w:val="178"/>
        </w:trPr>
        <w:tc>
          <w:tcPr>
            <w:tcW w:w="784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9"/>
              </w:rPr>
              <w:t>(2,015,143)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(1,617,113)</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9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(37,622)</w:t>
            </w:r>
          </w:p>
        </w:tc>
        <w:tc>
          <w:tcPr>
            <w:tcW w:w="0" w:type="dxa"/>
            <w:vAlign w:val="bottom"/>
          </w:tcPr>
          <w:p>
            <w:pPr>
              <w:spacing w:after="0"/>
              <w:rPr>
                <w:sz w:val="1"/>
                <w:szCs w:val="1"/>
                <w:color w:val="auto"/>
              </w:rPr>
            </w:pPr>
          </w:p>
        </w:tc>
      </w:tr>
      <w:tr>
        <w:trPr>
          <w:trHeight w:val="169"/>
        </w:trPr>
        <w:tc>
          <w:tcPr>
            <w:tcW w:w="78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stockholders’ equity (deficit)</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1,208,061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(1,186,899)</w:t>
            </w:r>
          </w:p>
        </w:tc>
        <w:tc>
          <w:tcPr>
            <w:tcW w:w="0" w:type="dxa"/>
            <w:vAlign w:val="bottom"/>
          </w:tcPr>
          <w:p>
            <w:pPr>
              <w:spacing w:after="0"/>
              <w:rPr>
                <w:sz w:val="1"/>
                <w:szCs w:val="1"/>
                <w:color w:val="auto"/>
              </w:rPr>
            </w:pPr>
          </w:p>
        </w:tc>
      </w:tr>
      <w:tr>
        <w:trPr>
          <w:trHeight w:val="198"/>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1,708,761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1,083,954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-2027555</wp:posOffset>
            </wp:positionV>
            <wp:extent cx="6985"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85" cy="114300"/>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-2027555</wp:posOffset>
            </wp:positionV>
            <wp:extent cx="6985" cy="114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985" cy="11430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NAVAN, INC. AND SUBSIDIARIES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702,265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536,837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402,256</w:t>
            </w:r>
          </w:p>
        </w:tc>
        <w:tc>
          <w:tcPr>
            <w:tcW w:w="0" w:type="dxa"/>
            <w:vAlign w:val="bottom"/>
          </w:tcPr>
          <w:p>
            <w:pPr>
              <w:spacing w:after="0"/>
              <w:rPr>
                <w:sz w:val="1"/>
                <w:szCs w:val="1"/>
                <w:color w:val="auto"/>
              </w:rPr>
            </w:pPr>
          </w:p>
        </w:tc>
      </w:tr>
      <w:tr>
        <w:trPr>
          <w:trHeight w:val="17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201,794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169,815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162,622</w:t>
            </w:r>
          </w:p>
        </w:tc>
        <w:tc>
          <w:tcPr>
            <w:tcW w:w="0" w:type="dxa"/>
            <w:vAlign w:val="bottom"/>
          </w:tcPr>
          <w:p>
            <w:pPr>
              <w:spacing w:after="0"/>
              <w:rPr>
                <w:sz w:val="1"/>
                <w:szCs w:val="1"/>
                <w:color w:val="auto"/>
              </w:rPr>
            </w:pP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500,471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367,022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239,634</w:t>
            </w:r>
          </w:p>
        </w:tc>
        <w:tc>
          <w:tcPr>
            <w:tcW w:w="0" w:type="dxa"/>
            <w:vAlign w:val="bottom"/>
          </w:tcPr>
          <w:p>
            <w:pPr>
              <w:spacing w:after="0"/>
              <w:rPr>
                <w:sz w:val="1"/>
                <w:szCs w:val="1"/>
                <w:color w:val="auto"/>
              </w:rPr>
            </w:pPr>
          </w:p>
        </w:tc>
      </w:tr>
      <w:tr>
        <w:trPr>
          <w:trHeight w:val="158"/>
        </w:trPr>
        <w:tc>
          <w:tcPr>
            <w:tcW w:w="60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Research and development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122,386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132,442</w:t>
            </w:r>
          </w:p>
        </w:tc>
        <w:tc>
          <w:tcPr>
            <w:tcW w:w="0" w:type="dxa"/>
            <w:vAlign w:val="bottom"/>
          </w:tcPr>
          <w:p>
            <w:pPr>
              <w:spacing w:after="0"/>
              <w:rPr>
                <w:sz w:val="1"/>
                <w:szCs w:val="1"/>
                <w:color w:val="auto"/>
              </w:rPr>
            </w:pPr>
          </w:p>
        </w:tc>
      </w:tr>
      <w:tr>
        <w:trPr>
          <w:trHeight w:val="178"/>
        </w:trPr>
        <w:tc>
          <w:tcPr>
            <w:tcW w:w="6080" w:type="dxa"/>
            <w:vAlign w:val="bottom"/>
          </w:tcPr>
          <w:p>
            <w:pPr>
              <w:ind w:left="220"/>
              <w:spacing w:after="0"/>
              <w:rPr>
                <w:sz w:val="20"/>
                <w:szCs w:val="20"/>
                <w:color w:val="auto"/>
              </w:rPr>
            </w:pPr>
            <w:r>
              <w:rPr>
                <w:rFonts w:ascii="Arial" w:cs="Arial" w:eastAsia="Arial" w:hAnsi="Arial"/>
                <w:sz w:val="13"/>
                <w:szCs w:val="13"/>
                <w:color w:val="auto"/>
              </w:rPr>
              <w:t>Sales and marketing</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342,667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218,722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220,511</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General and administrative</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203,444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133,552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133,023</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697,348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474,660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485,976</w:t>
            </w:r>
          </w:p>
        </w:tc>
        <w:tc>
          <w:tcPr>
            <w:tcW w:w="0" w:type="dxa"/>
            <w:vAlign w:val="bottom"/>
          </w:tcPr>
          <w:p>
            <w:pPr>
              <w:spacing w:after="0"/>
              <w:rPr>
                <w:sz w:val="1"/>
                <w:szCs w:val="1"/>
                <w:color w:val="auto"/>
              </w:rPr>
            </w:pP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(196,877)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(107,638)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(246,342)</w:t>
            </w:r>
          </w:p>
        </w:tc>
        <w:tc>
          <w:tcPr>
            <w:tcW w:w="0" w:type="dxa"/>
            <w:vAlign w:val="bottom"/>
          </w:tcPr>
          <w:p>
            <w:pPr>
              <w:spacing w:after="0"/>
              <w:rPr>
                <w:sz w:val="1"/>
                <w:szCs w:val="1"/>
                <w:color w:val="auto"/>
              </w:rPr>
            </w:pPr>
          </w:p>
        </w:tc>
      </w:tr>
      <w:tr>
        <w:trPr>
          <w:trHeight w:val="178"/>
        </w:trPr>
        <w:tc>
          <w:tcPr>
            <w:tcW w:w="6080" w:type="dxa"/>
            <w:vAlign w:val="bottom"/>
          </w:tcPr>
          <w:p>
            <w:pPr>
              <w:ind w:left="220"/>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(51,299)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(75,997)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(63,281)</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income (expense), net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10,093</w:t>
            </w:r>
          </w:p>
        </w:tc>
        <w:tc>
          <w:tcPr>
            <w:tcW w:w="0" w:type="dxa"/>
            <w:vAlign w:val="bottom"/>
          </w:tcPr>
          <w:p>
            <w:pPr>
              <w:spacing w:after="0"/>
              <w:rPr>
                <w:sz w:val="1"/>
                <w:szCs w:val="1"/>
                <w:color w:val="auto"/>
              </w:rPr>
            </w:pPr>
          </w:p>
        </w:tc>
      </w:tr>
      <w:tr>
        <w:trPr>
          <w:trHeight w:val="178"/>
        </w:trPr>
        <w:tc>
          <w:tcPr>
            <w:tcW w:w="6080" w:type="dxa"/>
            <w:vAlign w:val="bottom"/>
          </w:tcPr>
          <w:p>
            <w:pPr>
              <w:ind w:left="220"/>
              <w:spacing w:after="0"/>
              <w:rPr>
                <w:sz w:val="20"/>
                <w:szCs w:val="20"/>
                <w:color w:val="auto"/>
              </w:rPr>
            </w:pPr>
            <w:r>
              <w:rPr>
                <w:rFonts w:ascii="Arial" w:cs="Arial" w:eastAsia="Arial" w:hAnsi="Arial"/>
                <w:sz w:val="13"/>
                <w:szCs w:val="13"/>
                <w:color w:val="auto"/>
              </w:rPr>
              <w:t>Loss on extinguishment of debt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(117,978)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Gain (loss) on fair value adjustments</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(47,041)</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12,200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(26,594)</w:t>
            </w:r>
          </w:p>
        </w:tc>
        <w:tc>
          <w:tcPr>
            <w:tcW w:w="0" w:type="dxa"/>
            <w:vAlign w:val="bottom"/>
          </w:tcPr>
          <w:p>
            <w:pPr>
              <w:spacing w:after="0"/>
              <w:rPr>
                <w:sz w:val="1"/>
                <w:szCs w:val="1"/>
                <w:color w:val="auto"/>
              </w:rPr>
            </w:pPr>
          </w:p>
        </w:tc>
      </w:tr>
      <w:tr>
        <w:trPr>
          <w:trHeight w:val="169"/>
        </w:trPr>
        <w:tc>
          <w:tcPr>
            <w:tcW w:w="6080" w:type="dxa"/>
            <w:vAlign w:val="bottom"/>
          </w:tcPr>
          <w:p>
            <w:pPr>
              <w:ind w:left="20"/>
              <w:spacing w:after="0"/>
              <w:rPr>
                <w:sz w:val="20"/>
                <w:szCs w:val="20"/>
                <w:color w:val="auto"/>
              </w:rPr>
            </w:pPr>
            <w:r>
              <w:rPr>
                <w:rFonts w:ascii="Arial" w:cs="Arial" w:eastAsia="Arial" w:hAnsi="Arial"/>
                <w:sz w:val="13"/>
                <w:szCs w:val="13"/>
                <w:color w:val="auto"/>
              </w:rPr>
              <w:t>Loss before income tax expense</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(395,922)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(171,508)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(326,124)</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5,428</w:t>
            </w:r>
          </w:p>
        </w:tc>
        <w:tc>
          <w:tcPr>
            <w:tcW w:w="0" w:type="dxa"/>
            <w:vAlign w:val="bottom"/>
          </w:tcPr>
          <w:p>
            <w:pPr>
              <w:spacing w:after="0"/>
              <w:rPr>
                <w:sz w:val="1"/>
                <w:szCs w:val="1"/>
                <w:color w:val="auto"/>
              </w:rPr>
            </w:pPr>
          </w:p>
        </w:tc>
      </w:tr>
      <w:tr>
        <w:trPr>
          <w:trHeight w:val="173"/>
        </w:trPr>
        <w:tc>
          <w:tcPr>
            <w:tcW w:w="6080" w:type="dxa"/>
            <w:vAlign w:val="bottom"/>
          </w:tcPr>
          <w:p>
            <w:pPr>
              <w:ind w:left="20"/>
              <w:spacing w:after="0"/>
              <w:rPr>
                <w:sz w:val="20"/>
                <w:szCs w:val="20"/>
                <w:color w:val="auto"/>
              </w:rPr>
            </w:pPr>
            <w:r>
              <w:rPr>
                <w:rFonts w:ascii="Arial" w:cs="Arial" w:eastAsia="Arial" w:hAnsi="Arial"/>
                <w:sz w:val="13"/>
                <w:szCs w:val="13"/>
                <w:color w:val="auto"/>
              </w:rPr>
              <w:t>Net loss</w:t>
            </w: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(398,030)</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(181,078)</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(331,552)</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 per share attributable to common stockholders:</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3"/>
                <w:szCs w:val="13"/>
                <w:color w:val="auto"/>
              </w:rPr>
              <w:t>Basic and diluted net loss per share</w:t>
            </w: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080" w:type="dxa"/>
            <w:vAlign w:val="bottom"/>
          </w:tcPr>
          <w:p>
            <w:pPr>
              <w:ind w:left="20"/>
              <w:spacing w:after="0" w:line="132" w:lineRule="exact"/>
              <w:rPr>
                <w:sz w:val="20"/>
                <w:szCs w:val="20"/>
                <w:color w:val="auto"/>
              </w:rPr>
            </w:pPr>
            <w:r>
              <w:rPr>
                <w:rFonts w:ascii="Arial" w:cs="Arial" w:eastAsia="Arial" w:hAnsi="Arial"/>
                <w:sz w:val="13"/>
                <w:szCs w:val="13"/>
                <w:color w:val="auto"/>
              </w:rPr>
              <w:t>Weighted-average shares outstanding used to compute net loss per share attributable to common</w:t>
            </w:r>
          </w:p>
        </w:tc>
        <w:tc>
          <w:tcPr>
            <w:tcW w:w="4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97,795,703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3"/>
                <w:szCs w:val="13"/>
                <w:color w:val="auto"/>
              </w:rPr>
              <w:t>45,271,666</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44,583,919</w:t>
            </w:r>
          </w:p>
        </w:tc>
        <w:tc>
          <w:tcPr>
            <w:tcW w:w="0" w:type="dxa"/>
            <w:vAlign w:val="bottom"/>
          </w:tcPr>
          <w:p>
            <w:pPr>
              <w:spacing w:after="0"/>
              <w:rPr>
                <w:sz w:val="1"/>
                <w:szCs w:val="1"/>
                <w:color w:val="auto"/>
              </w:rPr>
            </w:pPr>
          </w:p>
        </w:tc>
      </w:tr>
      <w:tr>
        <w:trPr>
          <w:trHeight w:val="155"/>
        </w:trPr>
        <w:tc>
          <w:tcPr>
            <w:tcW w:w="6080" w:type="dxa"/>
            <w:vAlign w:val="bottom"/>
          </w:tcPr>
          <w:p>
            <w:pPr>
              <w:ind w:left="140"/>
              <w:spacing w:after="0"/>
              <w:rPr>
                <w:sz w:val="20"/>
                <w:szCs w:val="20"/>
                <w:color w:val="auto"/>
              </w:rPr>
            </w:pPr>
            <w:r>
              <w:rPr>
                <w:rFonts w:ascii="Arial" w:cs="Arial" w:eastAsia="Arial" w:hAnsi="Arial"/>
                <w:sz w:val="13"/>
                <w:szCs w:val="13"/>
                <w:color w:val="auto"/>
              </w:rPr>
              <w:t>stockholders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NAVAN,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0"/>
        </w:trPr>
        <w:tc>
          <w:tcPr>
            <w:tcW w:w="60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1"/>
                <w:szCs w:val="11"/>
                <w:b w:val="1"/>
                <w:bCs w:val="1"/>
                <w:color w:val="auto"/>
              </w:rPr>
              <w:t>2024</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(398,030)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(181,078)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(331,552)</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 currency translation adjustments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w:t>
            </w:r>
          </w:p>
        </w:tc>
      </w:tr>
      <w:tr>
        <w:trPr>
          <w:trHeight w:val="178"/>
        </w:trPr>
        <w:tc>
          <w:tcPr>
            <w:tcW w:w="6020" w:type="dxa"/>
            <w:vAlign w:val="bottom"/>
          </w:tcPr>
          <w:p>
            <w:pPr>
              <w:ind w:left="100"/>
              <w:spacing w:after="0"/>
              <w:rPr>
                <w:sz w:val="20"/>
                <w:szCs w:val="20"/>
                <w:color w:val="auto"/>
              </w:rPr>
            </w:pPr>
            <w:r>
              <w:rPr>
                <w:rFonts w:ascii="Arial" w:cs="Arial" w:eastAsia="Arial" w:hAnsi="Arial"/>
                <w:sz w:val="13"/>
                <w:szCs w:val="13"/>
                <w:color w:val="auto"/>
              </w:rPr>
              <w:t>Unrealized gain on marketable securities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13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0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other comprehensive income (loss):</w:t>
            </w: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34,397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(9,329)</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6,611</w:t>
            </w:r>
          </w:p>
        </w:tc>
      </w:tr>
      <w:tr>
        <w:trPr>
          <w:trHeight w:val="173"/>
        </w:trPr>
        <w:tc>
          <w:tcPr>
            <w:tcW w:w="60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(363,633)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(190,407)</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(324,941)</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NAVAN,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880" w:type="dxa"/>
            <w:vAlign w:val="bottom"/>
            <w:tcBorders>
              <w:right w:val="single" w:sz="8" w:color="auto"/>
            </w:tcBorders>
            <w:gridSpan w:val="4"/>
          </w:tcPr>
          <w:p>
            <w:pPr>
              <w:jc w:val="right"/>
              <w:ind w:right="187"/>
              <w:spacing w:after="0"/>
              <w:rPr>
                <w:sz w:val="20"/>
                <w:szCs w:val="20"/>
                <w:color w:val="auto"/>
              </w:rPr>
            </w:pPr>
            <w:r>
              <w:rPr>
                <w:rFonts w:ascii="Arial" w:cs="Arial" w:eastAsia="Arial" w:hAnsi="Arial"/>
                <w:sz w:val="9"/>
                <w:szCs w:val="9"/>
                <w:b w:val="1"/>
                <w:bCs w:val="1"/>
                <w:color w:val="auto"/>
              </w:rPr>
              <w:t>Redeemable Convertible Preferred</w:t>
            </w:r>
          </w:p>
        </w:tc>
        <w:tc>
          <w:tcPr>
            <w:tcW w:w="40" w:type="dxa"/>
            <w:vAlign w:val="bottom"/>
          </w:tcPr>
          <w:p>
            <w:pPr>
              <w:spacing w:after="0"/>
              <w:rPr>
                <w:sz w:val="11"/>
                <w:szCs w:val="11"/>
                <w:color w:val="auto"/>
              </w:rPr>
            </w:pPr>
          </w:p>
        </w:tc>
        <w:tc>
          <w:tcPr>
            <w:tcW w:w="1600" w:type="dxa"/>
            <w:vAlign w:val="bottom"/>
            <w:gridSpan w:val="3"/>
            <w:vMerge w:val="restart"/>
          </w:tcPr>
          <w:p>
            <w:pPr>
              <w:jc w:val="right"/>
              <w:ind w:right="268"/>
              <w:spacing w:after="0"/>
              <w:rPr>
                <w:sz w:val="20"/>
                <w:szCs w:val="20"/>
                <w:color w:val="auto"/>
              </w:rPr>
            </w:pPr>
            <w:r>
              <w:rPr>
                <w:rFonts w:ascii="Arial" w:cs="Arial" w:eastAsia="Arial" w:hAnsi="Arial"/>
                <w:sz w:val="9"/>
                <w:szCs w:val="9"/>
                <w:b w:val="1"/>
                <w:bCs w:val="1"/>
                <w:color w:val="auto"/>
              </w:rPr>
              <w:t>Common Stock</w:t>
            </w:r>
            <w:r>
              <w:rPr>
                <w:rFonts w:ascii="Arial" w:cs="Arial" w:eastAsia="Arial" w:hAnsi="Arial"/>
                <w:sz w:val="11"/>
                <w:szCs w:val="11"/>
                <w:b w:val="1"/>
                <w:bCs w:val="1"/>
                <w:color w:val="auto"/>
                <w:vertAlign w:val="superscript"/>
              </w:rPr>
              <w:t>(1)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9"/>
                <w:szCs w:val="9"/>
                <w:b w:val="1"/>
                <w:bCs w:val="1"/>
                <w:color w:val="auto"/>
              </w:rPr>
              <w:t>Additional paid-in</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1"/>
                <w:szCs w:val="11"/>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7"/>
              </w:rPr>
              <w:t>other</w:t>
            </w:r>
          </w:p>
        </w:tc>
        <w:tc>
          <w:tcPr>
            <w:tcW w:w="940" w:type="dxa"/>
            <w:vAlign w:val="bottom"/>
            <w:gridSpan w:val="2"/>
          </w:tcPr>
          <w:p>
            <w:pPr>
              <w:jc w:val="center"/>
              <w:spacing w:after="0"/>
              <w:rPr>
                <w:sz w:val="20"/>
                <w:szCs w:val="20"/>
                <w:color w:val="auto"/>
              </w:rPr>
            </w:pPr>
            <w:r>
              <w:rPr>
                <w:rFonts w:ascii="Arial" w:cs="Arial" w:eastAsia="Arial" w:hAnsi="Arial"/>
                <w:sz w:val="9"/>
                <w:szCs w:val="9"/>
                <w:b w:val="1"/>
                <w:bCs w:val="1"/>
                <w:color w:val="auto"/>
                <w:w w:val="99"/>
              </w:rPr>
              <w:t>Total stockholders'</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1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9"/>
                <w:szCs w:val="9"/>
                <w:b w:val="1"/>
                <w:bCs w:val="1"/>
                <w:color w:val="auto"/>
              </w:rPr>
              <w:t>Stock</w:t>
            </w:r>
          </w:p>
        </w:tc>
        <w:tc>
          <w:tcPr>
            <w:tcW w:w="7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comprehensive</w:t>
            </w:r>
          </w:p>
        </w:tc>
        <w:tc>
          <w:tcPr>
            <w:tcW w:w="180" w:type="dxa"/>
            <w:vAlign w:val="bottom"/>
          </w:tcPr>
          <w:p>
            <w:pPr>
              <w:spacing w:after="0"/>
              <w:rPr>
                <w:sz w:val="10"/>
                <w:szCs w:val="10"/>
                <w:color w:val="auto"/>
              </w:rPr>
            </w:pPr>
          </w:p>
        </w:tc>
        <w:tc>
          <w:tcPr>
            <w:tcW w:w="760" w:type="dxa"/>
            <w:vAlign w:val="bottom"/>
          </w:tcPr>
          <w:p>
            <w:pPr>
              <w:jc w:val="center"/>
              <w:ind w:right="127"/>
              <w:spacing w:after="0"/>
              <w:rPr>
                <w:sz w:val="20"/>
                <w:szCs w:val="20"/>
                <w:color w:val="auto"/>
              </w:rPr>
            </w:pPr>
            <w:r>
              <w:rPr>
                <w:rFonts w:ascii="Arial" w:cs="Arial" w:eastAsia="Arial" w:hAnsi="Arial"/>
                <w:sz w:val="9"/>
                <w:szCs w:val="9"/>
                <w:b w:val="1"/>
                <w:bCs w:val="1"/>
                <w:color w:val="auto"/>
                <w:w w:val="97"/>
              </w:rPr>
              <w:t>equity</w:t>
            </w:r>
          </w:p>
        </w:tc>
        <w:tc>
          <w:tcPr>
            <w:tcW w:w="0" w:type="dxa"/>
            <w:vAlign w:val="bottom"/>
          </w:tcPr>
          <w:p>
            <w:pPr>
              <w:spacing w:after="0"/>
              <w:rPr>
                <w:sz w:val="1"/>
                <w:szCs w:val="1"/>
                <w:color w:val="auto"/>
              </w:rPr>
            </w:pPr>
          </w:p>
        </w:tc>
      </w:tr>
      <w:tr>
        <w:trPr>
          <w:trHeight w:val="124"/>
        </w:trPr>
        <w:tc>
          <w:tcPr>
            <w:tcW w:w="362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0"/>
                <w:szCs w:val="10"/>
                <w:color w:val="auto"/>
              </w:rPr>
            </w:pPr>
          </w:p>
        </w:tc>
        <w:tc>
          <w:tcPr>
            <w:tcW w:w="780" w:type="dxa"/>
            <w:vAlign w:val="bottom"/>
            <w:tcBorders>
              <w:right w:val="single" w:sz="8" w:color="auto"/>
            </w:tcBorders>
          </w:tcPr>
          <w:p>
            <w:pPr>
              <w:jc w:val="right"/>
              <w:ind w:right="287"/>
              <w:spacing w:after="0"/>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10"/>
                <w:szCs w:val="10"/>
                <w:color w:val="auto"/>
              </w:rPr>
            </w:pPr>
          </w:p>
        </w:tc>
        <w:tc>
          <w:tcPr>
            <w:tcW w:w="94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660" w:type="dxa"/>
            <w:vAlign w:val="bottom"/>
          </w:tcPr>
          <w:p>
            <w:pPr>
              <w:jc w:val="right"/>
              <w:ind w:right="8"/>
              <w:spacing w:after="0"/>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capital</w:t>
            </w:r>
          </w:p>
        </w:tc>
        <w:tc>
          <w:tcPr>
            <w:tcW w:w="120" w:type="dxa"/>
            <w:vAlign w:val="bottom"/>
          </w:tcPr>
          <w:p>
            <w:pPr>
              <w:spacing w:after="0"/>
              <w:rPr>
                <w:sz w:val="10"/>
                <w:szCs w:val="1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10"/>
                <w:szCs w:val="10"/>
                <w:color w:val="auto"/>
              </w:rPr>
            </w:pPr>
          </w:p>
        </w:tc>
        <w:tc>
          <w:tcPr>
            <w:tcW w:w="760" w:type="dxa"/>
            <w:vAlign w:val="bottom"/>
          </w:tcPr>
          <w:p>
            <w:pPr>
              <w:jc w:val="center"/>
              <w:ind w:right="127"/>
              <w:spacing w:after="0"/>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14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January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146,360,207</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1,301,121</w:t>
            </w:r>
          </w:p>
        </w:tc>
        <w:tc>
          <w:tcPr>
            <w:tcW w:w="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44,295,279</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298,663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(1,104,483)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(34,904)</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(840,723)</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(331,552)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(331,552)</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net of tax</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6,611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6,611</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821,729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6,400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6,400</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312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76,981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76,981</w:t>
            </w:r>
          </w:p>
        </w:tc>
        <w:tc>
          <w:tcPr>
            <w:tcW w:w="0" w:type="dxa"/>
            <w:vAlign w:val="bottom"/>
          </w:tcPr>
          <w:p>
            <w:pPr>
              <w:spacing w:after="0"/>
              <w:rPr>
                <w:sz w:val="1"/>
                <w:szCs w:val="1"/>
                <w:color w:val="auto"/>
              </w:rPr>
            </w:pPr>
          </w:p>
        </w:tc>
      </w:tr>
      <w:tr>
        <w:trPr>
          <w:trHeight w:val="16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January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146,360,207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1,301,121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45,117,008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382,356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(1,436,035)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(28,293)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(1,081,971)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620" w:type="dxa"/>
            <w:vAlign w:val="bottom"/>
            <w:vMerge w:val="continue"/>
          </w:tcPr>
          <w:p>
            <w:pPr>
              <w:spacing w:after="0"/>
              <w:rPr>
                <w:sz w:val="9"/>
                <w:szCs w:val="9"/>
                <w:color w:val="auto"/>
              </w:rPr>
            </w:pPr>
          </w:p>
        </w:tc>
        <w:tc>
          <w:tcPr>
            <w:tcW w:w="920" w:type="dxa"/>
            <w:vAlign w:val="bottom"/>
            <w:gridSpan w:val="2"/>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tcBorders>
              <w:right w:val="single" w:sz="8" w:color="auto"/>
            </w:tcBorders>
          </w:tcPr>
          <w:p>
            <w:pPr>
              <w:jc w:val="right"/>
              <w:ind w:right="87"/>
              <w:spacing w:after="0" w:line="108"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94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660" w:type="dxa"/>
            <w:vAlign w:val="bottom"/>
          </w:tcPr>
          <w:p>
            <w:pPr>
              <w:spacing w:after="0"/>
              <w:rPr>
                <w:sz w:val="9"/>
                <w:szCs w:val="9"/>
                <w:color w:val="auto"/>
              </w:rPr>
            </w:pPr>
          </w:p>
        </w:tc>
        <w:tc>
          <w:tcPr>
            <w:tcW w:w="28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(181,078)</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(181,078)</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 net of tax</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(9,329)</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665,863</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4,521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4,521</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1,658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1,658</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79,300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79,300</w:t>
            </w:r>
          </w:p>
        </w:tc>
        <w:tc>
          <w:tcPr>
            <w:tcW w:w="0" w:type="dxa"/>
            <w:vAlign w:val="bottom"/>
          </w:tcPr>
          <w:p>
            <w:pPr>
              <w:spacing w:after="0"/>
              <w:rPr>
                <w:sz w:val="1"/>
                <w:szCs w:val="1"/>
                <w:color w:val="auto"/>
              </w:rPr>
            </w:pPr>
          </w:p>
        </w:tc>
      </w:tr>
      <w:tr>
        <w:trPr>
          <w:trHeight w:val="16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January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146,360,207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1,301,121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45,782,871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467,835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(1,617,113)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(37,622)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(1,186,899)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620" w:type="dxa"/>
            <w:vAlign w:val="bottom"/>
            <w:vMerge w:val="continue"/>
          </w:tcPr>
          <w:p>
            <w:pPr>
              <w:spacing w:after="0"/>
              <w:rPr>
                <w:sz w:val="9"/>
                <w:szCs w:val="9"/>
                <w:color w:val="auto"/>
              </w:rPr>
            </w:pPr>
          </w:p>
        </w:tc>
        <w:tc>
          <w:tcPr>
            <w:tcW w:w="920" w:type="dxa"/>
            <w:vAlign w:val="bottom"/>
            <w:gridSpan w:val="2"/>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tcBorders>
              <w:right w:val="single" w:sz="8" w:color="auto"/>
            </w:tcBorders>
          </w:tcPr>
          <w:p>
            <w:pPr>
              <w:jc w:val="right"/>
              <w:ind w:right="87"/>
              <w:spacing w:after="0" w:line="108"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94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660" w:type="dxa"/>
            <w:vAlign w:val="bottom"/>
          </w:tcPr>
          <w:p>
            <w:pPr>
              <w:spacing w:after="0"/>
              <w:rPr>
                <w:sz w:val="9"/>
                <w:szCs w:val="9"/>
                <w:color w:val="auto"/>
              </w:rPr>
            </w:pPr>
          </w:p>
        </w:tc>
        <w:tc>
          <w:tcPr>
            <w:tcW w:w="28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gridSpan w:val="2"/>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(398,030)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(398,030)</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net of tax</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34,397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34,397</w:t>
            </w:r>
          </w:p>
        </w:tc>
        <w:tc>
          <w:tcPr>
            <w:tcW w:w="0" w:type="dxa"/>
            <w:vAlign w:val="bottom"/>
          </w:tcPr>
          <w:p>
            <w:pPr>
              <w:spacing w:after="0"/>
              <w:rPr>
                <w:sz w:val="1"/>
                <w:szCs w:val="1"/>
                <w:color w:val="auto"/>
              </w:rPr>
            </w:pPr>
          </w:p>
        </w:tc>
      </w:tr>
      <w:tr>
        <w:trPr>
          <w:trHeight w:val="121"/>
        </w:trPr>
        <w:tc>
          <w:tcPr>
            <w:tcW w:w="362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initial public offering, net of</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tcBorders>
              <w:right w:val="single" w:sz="8" w:color="auto"/>
            </w:tcBorders>
            <w:vMerge w:val="restart"/>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1"/>
                <w:szCs w:val="11"/>
                <w:color w:val="auto"/>
              </w:rPr>
              <w:t>30,000,000</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713,302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713,302</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Arial" w:cs="Arial" w:eastAsia="Arial" w:hAnsi="Arial"/>
                <w:sz w:val="11"/>
                <w:szCs w:val="11"/>
                <w:color w:val="auto"/>
              </w:rPr>
              <w:t>underwriting costs</w:t>
            </w: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offering costs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(9,290)</w:t>
            </w:r>
          </w:p>
        </w:tc>
        <w:tc>
          <w:tcPr>
            <w:tcW w:w="0" w:type="dxa"/>
            <w:vAlign w:val="bottom"/>
          </w:tcPr>
          <w:p>
            <w:pPr>
              <w:spacing w:after="0"/>
              <w:rPr>
                <w:sz w:val="1"/>
                <w:szCs w:val="1"/>
                <w:color w:val="auto"/>
              </w:rPr>
            </w:pPr>
          </w:p>
        </w:tc>
      </w:tr>
      <w:tr>
        <w:trPr>
          <w:trHeight w:val="121"/>
        </w:trPr>
        <w:tc>
          <w:tcPr>
            <w:tcW w:w="3620" w:type="dxa"/>
            <w:vAlign w:val="bottom"/>
          </w:tcPr>
          <w:p>
            <w:pPr>
              <w:ind w:left="20"/>
              <w:spacing w:after="0" w:line="121" w:lineRule="exact"/>
              <w:rPr>
                <w:sz w:val="20"/>
                <w:szCs w:val="20"/>
                <w:color w:val="auto"/>
              </w:rPr>
            </w:pPr>
            <w:r>
              <w:rPr>
                <w:rFonts w:ascii="Arial" w:cs="Arial" w:eastAsia="Arial" w:hAnsi="Arial"/>
                <w:sz w:val="11"/>
                <w:szCs w:val="11"/>
                <w:color w:val="auto"/>
              </w:rPr>
              <w:t>Conversion of redeemable convertible preferred stock to common stock</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(146,360,207)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right w:val="single" w:sz="8" w:color="auto"/>
            </w:tcBorders>
            <w:vMerge w:val="restart"/>
          </w:tcPr>
          <w:p>
            <w:pPr>
              <w:jc w:val="right"/>
              <w:ind w:right="47"/>
              <w:spacing w:after="0"/>
              <w:rPr>
                <w:sz w:val="20"/>
                <w:szCs w:val="20"/>
                <w:color w:val="auto"/>
              </w:rPr>
            </w:pPr>
            <w:r>
              <w:rPr>
                <w:rFonts w:ascii="Arial" w:cs="Arial" w:eastAsia="Arial" w:hAnsi="Arial"/>
                <w:sz w:val="11"/>
                <w:szCs w:val="11"/>
                <w:color w:val="auto"/>
              </w:rPr>
              <w:t>(1,301,121)</w:t>
            </w:r>
          </w:p>
        </w:tc>
        <w:tc>
          <w:tcPr>
            <w:tcW w:w="40" w:type="dxa"/>
            <w:vAlign w:val="bottom"/>
          </w:tcPr>
          <w:p>
            <w:pPr>
              <w:spacing w:after="0"/>
              <w:rPr>
                <w:sz w:val="10"/>
                <w:szCs w:val="10"/>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1"/>
                <w:szCs w:val="11"/>
                <w:color w:val="auto"/>
              </w:rPr>
              <w:t>146,599,125</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1,301,120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1,301,121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Arial" w:cs="Arial" w:eastAsia="Arial" w:hAnsi="Arial"/>
                <w:sz w:val="11"/>
                <w:szCs w:val="11"/>
                <w:color w:val="auto"/>
              </w:rPr>
              <w:t>upon initial public offering</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SAFEs upon initial public offering</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7,851,008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196,275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196,275</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Conversion of convertible notes upon initial public offering</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12,827,963</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320,699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320,699</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Reclassification of preferred stock warrants &amp; SAFE warrants to equity</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31,343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31,343</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Issuance of equity-classified warrants in connection with term loan</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11,007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11,007</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exercise of warrants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1,742,352</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110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3,002,251</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23,846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23,846</w:t>
            </w:r>
          </w:p>
        </w:tc>
        <w:tc>
          <w:tcPr>
            <w:tcW w:w="0" w:type="dxa"/>
            <w:vAlign w:val="bottom"/>
          </w:tcPr>
          <w:p>
            <w:pPr>
              <w:spacing w:after="0"/>
              <w:rPr>
                <w:sz w:val="1"/>
                <w:szCs w:val="1"/>
                <w:color w:val="auto"/>
              </w:rPr>
            </w:pPr>
          </w:p>
        </w:tc>
      </w:tr>
      <w:tr>
        <w:trPr>
          <w:trHeight w:val="124"/>
        </w:trPr>
        <w:tc>
          <w:tcPr>
            <w:tcW w:w="36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common stock upon settlement of restricted stock units,</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1,369,936</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(17,760)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(17,760)</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of shares withheld</w:t>
            </w:r>
          </w:p>
        </w:tc>
        <w:tc>
          <w:tcPr>
            <w:tcW w:w="9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918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918</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Early exercised shares repurchased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(729)</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187,022</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187,022</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January 31, 2026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249,174,777</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8"/>
              <w:spacing w:after="0"/>
              <w:rPr>
                <w:sz w:val="20"/>
                <w:szCs w:val="20"/>
                <w:color w:val="auto"/>
              </w:rPr>
            </w:pPr>
            <w:r>
              <w:rPr>
                <w:rFonts w:ascii="Arial" w:cs="Arial" w:eastAsia="Arial" w:hAnsi="Arial"/>
                <w:sz w:val="11"/>
                <w:szCs w:val="11"/>
                <w:color w:val="auto"/>
                <w:w w:val="97"/>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3,226,427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(2,015,143)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1,208,061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3" w:lineRule="exact"/>
        <w:rPr>
          <w:sz w:val="20"/>
          <w:szCs w:val="20"/>
          <w:color w:val="auto"/>
        </w:rPr>
      </w:pPr>
    </w:p>
    <w:p>
      <w:pPr>
        <w:ind w:left="260" w:hanging="255"/>
        <w:spacing w:after="0" w:line="284" w:lineRule="auto"/>
        <w:tabs>
          <w:tab w:leader="none" w:pos="249"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1 for more information.</w:t>
      </w:r>
    </w:p>
    <w:p>
      <w:pPr>
        <w:spacing w:after="0" w:line="45" w:lineRule="exact"/>
        <w:rPr>
          <w:sz w:val="20"/>
          <w:szCs w:val="20"/>
          <w:color w:val="auto"/>
        </w:rPr>
      </w:pPr>
    </w:p>
    <w:p>
      <w:pPr>
        <w:ind w:left="314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NAVAN,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0"/>
        </w:trPr>
        <w:tc>
          <w:tcPr>
            <w:tcW w:w="60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2024</w:t>
            </w:r>
          </w:p>
        </w:tc>
      </w:tr>
      <w:tr>
        <w:trPr>
          <w:trHeight w:val="161"/>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10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8"/>
        </w:trPr>
        <w:tc>
          <w:tcPr>
            <w:tcW w:w="60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ind w:right="878"/>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(398,030)</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(181,078)</w:t>
            </w:r>
          </w:p>
        </w:tc>
        <w:tc>
          <w:tcPr>
            <w:tcW w:w="100" w:type="dxa"/>
            <w:vAlign w:val="bottom"/>
          </w:tcPr>
          <w:p>
            <w:pPr>
              <w:spacing w:after="0"/>
              <w:rPr>
                <w:sz w:val="15"/>
                <w:szCs w:val="15"/>
                <w:color w:val="auto"/>
              </w:rPr>
            </w:pP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(331,552)</w:t>
            </w:r>
          </w:p>
        </w:tc>
      </w:tr>
      <w:tr>
        <w:trPr>
          <w:trHeight w:val="183"/>
        </w:trPr>
        <w:tc>
          <w:tcPr>
            <w:tcW w:w="6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Stock-based compensation, net of amounts capitalized</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182,089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76,981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75,851</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interest expense</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44,647</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(3,224)</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24,889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26,864</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Amortization of contract acquisition costs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5,647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7,033</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doubtful accounts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8,693</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Loss (gain) on fair value adjustments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47,041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(12,200)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26,594</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costs expensed related to SAFEs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117,978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 net of effect of business acquisitions: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0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(24,614)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(21,149)</w:t>
            </w:r>
          </w:p>
        </w:tc>
      </w:tr>
      <w:tr>
        <w:trPr>
          <w:trHeight w:val="178"/>
        </w:trPr>
        <w:tc>
          <w:tcPr>
            <w:tcW w:w="6020" w:type="dxa"/>
            <w:vAlign w:val="bottom"/>
          </w:tcPr>
          <w:p>
            <w:pPr>
              <w:ind w:left="46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(17,712)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1,784</w:t>
            </w:r>
          </w:p>
        </w:tc>
      </w:tr>
      <w:tr>
        <w:trPr>
          <w:trHeight w:val="183"/>
        </w:trPr>
        <w:tc>
          <w:tcPr>
            <w:tcW w:w="60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Contract acquisition costs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(23,685)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460"/>
              <w:spacing w:after="0"/>
              <w:rPr>
                <w:sz w:val="20"/>
                <w:szCs w:val="20"/>
                <w:color w:val="auto"/>
              </w:rPr>
            </w:pPr>
            <w:r>
              <w:rPr>
                <w:rFonts w:ascii="Arial" w:cs="Arial" w:eastAsia="Arial" w:hAnsi="Arial"/>
                <w:sz w:val="13"/>
                <w:szCs w:val="13"/>
                <w:color w:val="auto"/>
              </w:rPr>
              <w:t>Other non-current assets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(6,933)</w:t>
            </w:r>
          </w:p>
        </w:tc>
      </w:tr>
      <w:tr>
        <w:trPr>
          <w:trHeight w:val="183"/>
        </w:trPr>
        <w:tc>
          <w:tcPr>
            <w:tcW w:w="60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(9,630)</w:t>
            </w:r>
          </w:p>
        </w:tc>
      </w:tr>
      <w:tr>
        <w:trPr>
          <w:trHeight w:val="178"/>
        </w:trPr>
        <w:tc>
          <w:tcPr>
            <w:tcW w:w="6020" w:type="dxa"/>
            <w:vAlign w:val="bottom"/>
          </w:tcPr>
          <w:p>
            <w:pPr>
              <w:ind w:left="460"/>
              <w:spacing w:after="0"/>
              <w:rPr>
                <w:sz w:val="20"/>
                <w:szCs w:val="20"/>
                <w:color w:val="auto"/>
              </w:rPr>
            </w:pPr>
            <w:r>
              <w:rPr>
                <w:rFonts w:ascii="Arial" w:cs="Arial" w:eastAsia="Arial" w:hAnsi="Arial"/>
                <w:sz w:val="13"/>
                <w:szCs w:val="13"/>
                <w:color w:val="auto"/>
              </w:rPr>
              <w:t>Accrued expenses and other current liabilities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45,896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6,647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33,170</w:t>
            </w:r>
          </w:p>
        </w:tc>
      </w:tr>
      <w:tr>
        <w:trPr>
          <w:trHeight w:val="183"/>
        </w:trPr>
        <w:tc>
          <w:tcPr>
            <w:tcW w:w="60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8,787</w:t>
            </w:r>
          </w:p>
        </w:tc>
      </w:tr>
      <w:tr>
        <w:trPr>
          <w:trHeight w:val="178"/>
        </w:trPr>
        <w:tc>
          <w:tcPr>
            <w:tcW w:w="6020" w:type="dxa"/>
            <w:vAlign w:val="bottom"/>
          </w:tcPr>
          <w:p>
            <w:pPr>
              <w:ind w:left="460"/>
              <w:spacing w:after="0"/>
              <w:rPr>
                <w:sz w:val="20"/>
                <w:szCs w:val="20"/>
                <w:color w:val="auto"/>
              </w:rPr>
            </w:pPr>
            <w:r>
              <w:rPr>
                <w:rFonts w:ascii="Arial" w:cs="Arial" w:eastAsia="Arial" w:hAnsi="Arial"/>
                <w:sz w:val="13"/>
                <w:szCs w:val="13"/>
                <w:color w:val="auto"/>
              </w:rPr>
              <w:t>Operating lease right-of-use asset and operating lease liabilities, net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2,256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173</w:t>
            </w:r>
          </w:p>
        </w:tc>
      </w:tr>
      <w:tr>
        <w:trPr>
          <w:trHeight w:val="183"/>
        </w:trPr>
        <w:tc>
          <w:tcPr>
            <w:tcW w:w="60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non-current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(27,630)</w:t>
            </w:r>
          </w:p>
        </w:tc>
      </w:tr>
      <w:tr>
        <w:trPr>
          <w:trHeight w:val="169"/>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Net cash provided by (used in) operating activities</w:t>
            </w: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33,671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(50,406)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(166,363)</w:t>
            </w:r>
          </w:p>
        </w:tc>
      </w:tr>
      <w:tr>
        <w:trPr>
          <w:trHeight w:val="16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Capitalized software development costs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(15,309)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(16,743)</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Purchases of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(156,290)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corporate card receivables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65,052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(84,449)</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Cash consideration for business acquisition, net of cash acquired</w:t>
            </w:r>
          </w:p>
        </w:tc>
        <w:tc>
          <w:tcPr>
            <w:tcW w:w="10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(3,879)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(7,026)</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Net cash (used in) provided by investing activities</w:t>
            </w:r>
          </w:p>
        </w:tc>
        <w:tc>
          <w:tcPr>
            <w:tcW w:w="10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(203,032)</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44,870</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(108,779)</w:t>
            </w:r>
          </w:p>
        </w:tc>
      </w:tr>
      <w:tr>
        <w:trPr>
          <w:trHeight w:val="16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Proceeds from stock option exercises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23,893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4,540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9,059</w:t>
            </w:r>
          </w:p>
        </w:tc>
      </w:tr>
      <w:tr>
        <w:trPr>
          <w:trHeight w:val="183"/>
        </w:trPr>
        <w:tc>
          <w:tcPr>
            <w:tcW w:w="6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borrowings of debt</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86,187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206,419</w:t>
            </w:r>
          </w:p>
        </w:tc>
      </w:tr>
      <w:tr>
        <w:trPr>
          <w:trHeight w:val="176"/>
        </w:trPr>
        <w:tc>
          <w:tcPr>
            <w:tcW w:w="6020" w:type="dxa"/>
            <w:vAlign w:val="bottom"/>
          </w:tcPr>
          <w:p>
            <w:pPr>
              <w:ind w:left="280"/>
              <w:spacing w:after="0"/>
              <w:rPr>
                <w:sz w:val="20"/>
                <w:szCs w:val="20"/>
                <w:color w:val="auto"/>
              </w:rPr>
            </w:pPr>
            <w:r>
              <w:rPr>
                <w:rFonts w:ascii="Arial" w:cs="Arial" w:eastAsia="Arial" w:hAnsi="Arial"/>
                <w:sz w:val="13"/>
                <w:szCs w:val="13"/>
                <w:color w:val="auto"/>
              </w:rPr>
              <w:t>Proceeds from issuance of SAFEs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0"/>
        </w:trPr>
        <w:tc>
          <w:tcPr>
            <w:tcW w:w="60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2024</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borrowings of debt</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(550,511)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Payments for debt issuance costs</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(1,512)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Payments of deferred offering costs</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Payment of deferred consideration in business combinations</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183"/>
        </w:trPr>
        <w:tc>
          <w:tcPr>
            <w:tcW w:w="6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issuance of common stock in IPO, net of underwriting costs</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713,302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Taxes collected from selling shareholders stock option exercises</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Taxes remitted for selling shareholders stock option exercises</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Payment of tax withholdings on settlement of RSUs</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(17,728)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exercise of warrants</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Net cash provided by financing activities</w:t>
            </w:r>
          </w:p>
        </w:tc>
        <w:tc>
          <w:tcPr>
            <w:tcW w:w="9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519,919</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52,554</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212,620</w:t>
            </w:r>
          </w:p>
        </w:tc>
      </w:tr>
      <w:tr>
        <w:trPr>
          <w:trHeight w:val="173"/>
        </w:trPr>
        <w:tc>
          <w:tcPr>
            <w:tcW w:w="6020" w:type="dxa"/>
            <w:vAlign w:val="bottom"/>
            <w:shd w:val="clear" w:color="auto" w:fill="CCEEFF"/>
          </w:tcPr>
          <w:p>
            <w:pPr>
              <w:ind w:left="66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r>
      <w:tr>
        <w:trPr>
          <w:trHeight w:val="178"/>
        </w:trPr>
        <w:tc>
          <w:tcPr>
            <w:tcW w:w="6020" w:type="dxa"/>
            <w:vAlign w:val="bottom"/>
          </w:tcPr>
          <w:p>
            <w:pPr>
              <w:ind w:left="66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357,479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43,213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(62,936)</w:t>
            </w:r>
          </w:p>
        </w:tc>
      </w:tr>
      <w:tr>
        <w:trPr>
          <w:trHeight w:val="180"/>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310,595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267,382</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330,318</w:t>
            </w:r>
          </w:p>
        </w:tc>
      </w:tr>
      <w:tr>
        <w:trPr>
          <w:trHeight w:val="173"/>
        </w:trPr>
        <w:tc>
          <w:tcPr>
            <w:tcW w:w="60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80" w:type="dxa"/>
            <w:vAlign w:val="bottom"/>
            <w:tcBorders>
              <w:bottom w:val="single" w:sz="8" w:color="auto"/>
            </w:tcBorders>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668,074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310,595</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267,382</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3"/>
        </w:trPr>
        <w:tc>
          <w:tcPr>
            <w:tcW w:w="6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18,634</w:t>
            </w: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980" w:type="dxa"/>
            <w:vAlign w:val="bottom"/>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17,188</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8,539</w:t>
            </w:r>
          </w:p>
        </w:tc>
        <w:tc>
          <w:tcPr>
            <w:tcW w:w="100" w:type="dxa"/>
            <w:vAlign w:val="bottom"/>
          </w:tcPr>
          <w:p>
            <w:pPr>
              <w:spacing w:after="0"/>
              <w:rPr>
                <w:sz w:val="15"/>
                <w:szCs w:val="15"/>
                <w:color w:val="auto"/>
              </w:rPr>
            </w:pP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6,368</w:t>
            </w:r>
          </w:p>
        </w:tc>
      </w:tr>
      <w:tr>
        <w:trPr>
          <w:trHeight w:val="215"/>
        </w:trPr>
        <w:tc>
          <w:tcPr>
            <w:tcW w:w="6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78"/>
        </w:trPr>
        <w:tc>
          <w:tcPr>
            <w:tcW w:w="6020" w:type="dxa"/>
            <w:vAlign w:val="bottom"/>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Capitalized stock-based compensation for internal-use software development costs</w:t>
            </w:r>
          </w:p>
        </w:tc>
        <w:tc>
          <w:tcPr>
            <w:tcW w:w="980" w:type="dxa"/>
            <w:vAlign w:val="bottom"/>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4,933</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2,319</w:t>
            </w:r>
          </w:p>
        </w:tc>
        <w:tc>
          <w:tcPr>
            <w:tcW w:w="100" w:type="dxa"/>
            <w:vAlign w:val="bottom"/>
          </w:tcPr>
          <w:p>
            <w:pPr>
              <w:spacing w:after="0"/>
              <w:rPr>
                <w:sz w:val="15"/>
                <w:szCs w:val="15"/>
                <w:color w:val="auto"/>
              </w:rPr>
            </w:pP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1,130</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offering costs not yet paid</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Conversion of redeemable convertible preferred stock to common stock</w:t>
            </w:r>
          </w:p>
        </w:tc>
        <w:tc>
          <w:tcPr>
            <w:tcW w:w="980" w:type="dxa"/>
            <w:vAlign w:val="bottom"/>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1,301,120</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SAFEs to equity upon IPO</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tcPr>
          <w:p>
            <w:pPr>
              <w:ind w:left="280"/>
              <w:spacing w:after="0"/>
              <w:rPr>
                <w:sz w:val="20"/>
                <w:szCs w:val="20"/>
                <w:color w:val="auto"/>
              </w:rPr>
            </w:pPr>
            <w:r>
              <w:rPr>
                <w:rFonts w:ascii="Arial" w:cs="Arial" w:eastAsia="Arial" w:hAnsi="Arial"/>
                <w:sz w:val="13"/>
                <w:szCs w:val="13"/>
                <w:color w:val="auto"/>
              </w:rPr>
              <w:t>Reclassification of preferred stock warrants &amp; SAFE warrants to equity upon IPO</w:t>
            </w:r>
          </w:p>
        </w:tc>
        <w:tc>
          <w:tcPr>
            <w:tcW w:w="980" w:type="dxa"/>
            <w:vAlign w:val="bottom"/>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31,343</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convertible notes to equity upon IPO</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NAVAN, INC. AND SUBSIDIARIES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DESCRIPTION OF BUSINESS AND SIGNIFICANT ACCOUNTING POLICIES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October 31, 2025, the Company completed its initial public offering (the “IPO”) in which the Company issued and sold 30,000,000 shares of its Class A common stock at a public offering price of $ 25.00 per share, which resulted in net proceeds of $713.3 million after deducting underwriting discounts and before deducting offering costs. In addition, selling stockholders sold 6,924,406 shares of Class A common stock in the IPO at the public offering price of $25.00 per share. The Company did not receive any proceeds from the sale of Class A common stock by the selling stockholders. The underwriters’ option to purchase an additional 5,538,660 shares of Class A common stock at the public offering price of $25.00 less underwriting discounts expired unexercised during the year ended January 31, 2026.</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 Refer to Note 11 — Stockholder’s Equity (Deficit) for additional information.</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IPO, all shares of the Company’s common stock outstanding prior to completion of the IPO were exchanged into an equivalent number of shares of Class A common stock. In addition, pursuant to an exchange agreement with the Company’s two co-founders (the “Co-Founders”) and certain of their affiliates, which became effective as of the completion of the IPO, 15,304,696 shares of the Company’s Class A common stock beneficially owned by the Co-Founders and their respective affiliated entities were exchanged for an equivalent number of shares of our Class B common stock. Subject to separate equity exchange right agreements entered into with them in connection with the IPO, each Co-Founder has a right (but not an obligation) to require the Company to exchange, for shares of Class B common stock, any shares of Class A common stock received by him upon the exercise or settlement of equity awards that were granted to the respective Co-Founders prior to the effectiveness of the filing of our amended and restated certificate of incorporation (the “Equity Exchange Rights”).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IPO, the Company recognized a one-time cumulative stock-based compensation expense charge of $ 81.8 million associated with the satisfaction of the performance-based vesting condition for outstanding restricted stock units (“RSUs”) which was satisfied in connection with the IPO and for which the service-based vesting condition had also been satisfied as of that date, of which $0.9 million was capitalized related to software development. To meet the related tax withholding requirements for the net settlement of the vested RSUs, the Company withheld 709,106 shares underlying such equity awards, resulting in the net issuance of 934,353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Based on the IPO price of $25.00 per share, the Company’s related tax withholding obligation was $17.7 million, all of which was paid during the year ended January 31, 2026.</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10 — Equity Incentive Plans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 and Principles of Consolidation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accompanying consolidated financial statements have been prepared in accordance with generally accepted accounting principles in the United States (“GAAP”). We consolidate our wholly-owned subsidiaries and variable interest entities (“VIEs”) where we are deemed to be the primary beneficiary. Refer to Note 9 — Variable Interest Entities for further details. All intercompany profits, transactions and balances have been eliminated in consolidation.</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fiscal year ends on January 31. References made to “fiscal 2026”, “fiscal 2025”, and “fiscal 2024” refer to the Company’s fiscal years ending January 31, 2026, January 31, 2025, and January 31, 2024, respectively.</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Prior period amounts within Note 4 — Supplemental Financial Statement Information have been reclassified to conform to the current period presentation. These reclassifications had no impact on our previously reported total current assets, total assets, total current liabilities, total liabilities, results of operations, comprehensive income (loss) or net cash flows from operating, financing, or investing activities.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September 18, 2025, the Company effected a one-for-three reverse stock split of its common stock and redeemable convertible preferred stock. All share and per share information has been retroactively adjusted to reflect the reverse stock split for all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judgments and assumptions that affect the reported amounts in the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financial instruments; fair values of stock-based awards issued; the vested and unpaid rewards earned by users of our platform; variable consideration related to achieving specified contractual thresholds in our revenue generating arrangements with travel supply partners; the incremental borrowing rate used for operating lease liabilities; and assumptions used in accounting for income taxes. These estimates are inherently subject to judgment and actual results could differ from those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restricted cash, investments in marketable debt securities, and accounts receivable. The Company maintains its cash, cash equivalents, restricted cash, and marketable debt securities with high-quality financial institutions primarily in the United States, where the composition and maturities are regularly monitored by the Company. Deposits may exceed federally insured limits.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 customers accounted for more than 10% of the Company’s revenue during the year ended January 31, 2026. One payment partner customer accounted for 11% and 12% of the Company’s revenue during the years ended January 31, 2025 and 2024, respectively.</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 customers accounted for more than 10% of accounts receivable as of January 31, 2026. One platform customer accounted for 12% of accounts receivable as of January 31, 2025. The Company did not have any customers that accounted for 10% or more of corporate card receivables as of January 31, 2026 and 2025,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functional currency of the Company’s foreign subsidiaries is the local currency or U.S. dollar, depending on the primary economic environment in which the subsidiary operates. Transactions denominated in currencies other than the functional currency are remeasured to the functional currency at the exchange rate in effect on the date of the transaction and are recorded in the current period consolidated statements of operations. Monetary assets and liabilities denominated in currencies other than the functional currency are remeasured monthly using the month-end exchange rate. Gains and losses resulting from such remeasurements are recorded in other expense, net in the consolidated statements of operations. Subsidiary assets and liabilities with non-U.S. dollar functional currencies are translated at the month-end exchange rate, accumulated deficit and other equity items are translated at historical exchange rates, and revenue and expenses are translated at average exchange rates during the year. Cumulative translation adjustments are recorded within accumulated other comprehensive income (loss), a separate component of stockholders’ deficit.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and cash equivalents consists of funds deposited with banks, funds available for use held with our corporate card payment processing partner which are not earmarked to collateralize corporate card spend by our customers, and investments in money market funds and commercial paper. We consider all highly-liquid investments purchased with an original maturity of three months or less at the date of purchase to be cash equivalents.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Restricted cash consists of (i) a portion of the balance held with our payment processing partners to fund transactions charged by our corporate card users, (ii) cash balances held at our consolidated VIE, and (iii) cash used as collateral for the letters of credit for lease agreements that have lease terms that extend beyond 12 months from the balance sheet date. Restricted cash is classified as current and non-current assets based on the contractual or estimated term of the remaining restriction.</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provides a reconciliation of cash, cash equivalents and restricted cash reported within the consolidated balance sheets that sum to the total of such amounts in the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As of January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2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157,672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166,421</w:t>
            </w: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79,647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148,157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95,961</w:t>
            </w:r>
          </w:p>
        </w:tc>
      </w:tr>
      <w:tr>
        <w:trPr>
          <w:trHeight w:val="18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non-current</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171"/>
        </w:trPr>
        <w:tc>
          <w:tcPr>
            <w:tcW w:w="6260" w:type="dxa"/>
            <w:vAlign w:val="bottom"/>
          </w:tcPr>
          <w:p>
            <w:pPr>
              <w:ind w:left="180"/>
              <w:spacing w:after="0"/>
              <w:rPr>
                <w:sz w:val="20"/>
                <w:szCs w:val="20"/>
                <w:color w:val="auto"/>
              </w:rPr>
            </w:pPr>
            <w:r>
              <w:rPr>
                <w:rFonts w:ascii="Arial" w:cs="Arial" w:eastAsia="Arial" w:hAnsi="Arial"/>
                <w:sz w:val="14"/>
                <w:szCs w:val="14"/>
                <w:color w:val="auto"/>
              </w:rPr>
              <w:t>Total cash and cash equivalents and restricted cash</w:t>
            </w: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668,074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310,595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267,382</w:t>
            </w:r>
          </w:p>
        </w:tc>
      </w:tr>
      <w:tr>
        <w:trPr>
          <w:trHeight w:val="20"/>
        </w:trPr>
        <w:tc>
          <w:tcPr>
            <w:tcW w:w="6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 measurement date.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Codification (“ASC”)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establishes a framework for measuring fair value and requires disclosure about the fair value measurements of assets and liabilities.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accordance with ASC 820, we use the fair value hierarchy, which maximizes the use of observable inputs and minimizes the use of unobservable inputs. The three levels of the fair value hierarchy are set forth below:</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1</w:t>
      </w:r>
      <w:r>
        <w:rPr>
          <w:rFonts w:ascii="Arial" w:cs="Arial" w:eastAsia="Arial" w:hAnsi="Arial"/>
          <w:sz w:val="14"/>
          <w:szCs w:val="14"/>
          <w:color w:val="auto"/>
        </w:rPr>
        <w:t>—Observable inputs such as quoted prices in active markets for identical assets or liabilities.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in markets that are not active, or inputs</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quoted prices that are observable either directly or indirectly for the full term of the assets or liabilities.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w:t>
      </w:r>
      <w:r>
        <w:rPr>
          <w:rFonts w:ascii="Arial" w:cs="Arial" w:eastAsia="Arial" w:hAnsi="Arial"/>
          <w:sz w:val="14"/>
          <w:szCs w:val="14"/>
          <w:color w:val="auto"/>
        </w:rPr>
        <w:t>—Unobservable inputs in which there is little or no market data and that are significant to the fair value of the assets or liabilities.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primary financial instruments include cash and cash equivalents, restricted cash, investments in marketable debt securities, accounts receivable, corporate card receivables, accounts payable, accrued expenses, debt, convertible debt, embedded derivatives and redeemable convertible preferred stock warrants. The estimated fair value of cash and cash equivalents, restricted cash, accounts receivable, corporate card receivables, accounts payable and accrued expenses approximate their carrying value due to the short-term maturities of these instruments. For further information regarding the fair value of our cash equivalents and investments in marketable debt securities, as well as the fair value of the Company’s convertible debt, embedded derivatives and redeemable convertible preferred stock warrants., refer to Note 3 — Investments and Fair Value Measurements and Note 8 — Debt.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and Allowance for Expected Credit Losses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Long-aged balances and other higher risk amounts are reviewed individually for collectability. We recognize estimated credit losses through the income statement, and the allowance for estimated credit losses is recorded in accounts receivable, net on the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Card Receivables and Allowance for Expected Credit Losses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provide virtual and physical corporate credit cards to customers of our expense management offering through issuing bank partners. Under our payment partner arrangements, we are required to prefund spend on these credit cards. We recognize a receivable for each transaction, and receivables are generally due within ten days.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We recognize estimated credit losses through the income statement, and the allowance for estimated credit losses is recorded in corporate card receivables, net on the consolidated balance sheets</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account for investments in debt securities based on the legal form of the security, our intended holding period, and the nature of the transaction. Investments in debt securities include commercial paper, corporate bonds, and U.S. government and agency securities. Our investments in debt securities are classified as available-for-sale and are initially recorded at fair value. Subsequent changes in fair value are recorded in other comprehensive income (loss), net of tax. Amortization of premiums and accretion of discounts are included in other income (expense), net, in the consolidated statements of operations.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consider our available-for-sale debt securities as available for use in current operations, including those with maturity dates beyond one year, and therefore classify these securities as short-term investments. We do not have any restricted investments.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available-for-sale debt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net in the consolidated statements of operations. If neither of these criteria is met, the Company further assesses whether the decline in fair value below amortized cost is due to credit or non-credit related factors. In making this assessment, the Company considers the extent to which fair value is less than amortized cost, any changes to the rating of the security by a rating agency, and any adverse conditions specific to the security, among other factors. Credit-related losses are recognized as an allowance on the consolidated balance sheets with a corresponding charge to other income (expense), net in the consolidated statements of operations. Non-credit related losses on available-for-sale debt securities are included in accumulated other comprehensive income (loss).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Realized gains and losses on the sale of debt securities are determined using the specific identification method and are reported in other income (expense), net, in the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the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evaluate our relationship with our VIEs on an ongoing basis to determine whether we are the primary beneficiary. If we are not deemed to be the primary beneficiary in a VIE, we account for the investment or other variable interests in a VIE in accordance with applicable GAAP. Refer to Note 9 — Variable Interest Entities for further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determine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Lease liabilities and their corresponding right-of-use (“ROU”) assets are recognized at commencement date and recorded based on the present value of lease payments over the expected lease term. The implicit rates within our operating leases are generally not determinable and therefore we use the incremental borrowing rate at the lease commencement date to determine the present value of lease payments. The determination of the incremental borrowing rate requires judgment. We determine the incremental borrowing rate for each lease using our estimated borrowing rate, adjusted for various factors including level of collateralization, term and currency to align with the terms of the lease. The ROU asset also might include lease prepayments, offset by lease incentives. Certain leases include options to extend or terminate the lease. Lease terms include options to extend or terminate the lease when it is reasonably certain we will exercise that option.</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made accounting policy elections to (i) not recognize ROU assets or lease liabilities for short-term leases (leases with lease terms of 12 months or less); and (ii) combine lease and non-lease components. Variable lease payments are recognized in the consolidated statements of operations when incurred and include certain non-lease components, such as maintenance and other services provided by the lessor to the extent the charges are variable.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Equipment and Software, Net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Property, equipment and software, net are stated at cost, less accumulated depreciation and amortization. Major improvements that extend the life, capacity or efficiency, or improve the safety of an asset, are capitalized, while maintenance and repairs are expensed as incurred. When assets are retired or disposed of, the cost and related accumulated depreciation and amortization are removed from the related accounts and the resulting gain or loss is reflected in the consolidated statements of operations in the period realized.</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capitalize certain internal-use software development costs incurred during the application development stage. Such costs are amortized on a straight-line basis over the estimated useful life. Costs related to preliminary project activities and post-implementation activities are expensed as incurred. Costs incurred for enhancements that are expected to result in additional functionality are also capitalized and expensed over the estimated useful life of the upgrades. Capitalized internal-use software development costs are included in property, equipment and software, net on the consolidated balance sheets.</w:t>
      </w:r>
    </w:p>
    <w:p>
      <w:pPr>
        <w:spacing w:after="0" w:line="6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Depreciation and amortization expense is recorded using the straight</w:t>
      </w:r>
      <w:r>
        <w:rPr>
          <w:rFonts w:ascii="MS PGothic" w:cs="MS PGothic" w:eastAsia="MS PGothic" w:hAnsi="MS PGothic"/>
          <w:sz w:val="14"/>
          <w:szCs w:val="14"/>
          <w:color w:val="auto"/>
        </w:rPr>
        <w:t>‑</w:t>
      </w:r>
      <w:r>
        <w:rPr>
          <w:rFonts w:ascii="Arial" w:cs="Arial" w:eastAsia="Arial" w:hAnsi="Arial"/>
          <w:sz w:val="14"/>
          <w:szCs w:val="14"/>
          <w:color w:val="auto"/>
        </w:rPr>
        <w:t>line method over the estimated useful lives of the assets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Property, Equipment and Software</w:t>
            </w:r>
          </w:p>
        </w:tc>
        <w:tc>
          <w:tcPr>
            <w:tcW w:w="5600" w:type="dxa"/>
            <w:vAlign w:val="bottom"/>
          </w:tcPr>
          <w:p>
            <w:pPr>
              <w:jc w:val="center"/>
              <w:spacing w:after="0"/>
              <w:rPr>
                <w:sz w:val="20"/>
                <w:szCs w:val="20"/>
                <w:color w:val="auto"/>
              </w:rPr>
            </w:pPr>
            <w:r>
              <w:rPr>
                <w:rFonts w:ascii="Arial" w:cs="Arial" w:eastAsia="Arial" w:hAnsi="Arial"/>
                <w:sz w:val="11"/>
                <w:szCs w:val="11"/>
                <w:b w:val="1"/>
                <w:bCs w:val="1"/>
                <w:color w:val="auto"/>
              </w:rPr>
              <w:t>Useful Life</w:t>
            </w:r>
          </w:p>
        </w:tc>
      </w:tr>
      <w:tr>
        <w:trPr>
          <w:trHeight w:val="171"/>
        </w:trPr>
        <w:tc>
          <w:tcPr>
            <w:tcW w:w="5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Internal-use software</w:t>
            </w:r>
          </w:p>
        </w:tc>
        <w:tc>
          <w:tcPr>
            <w:tcW w:w="80" w:type="dxa"/>
            <w:vAlign w:val="bottom"/>
            <w:tcBorders>
              <w:top w:val="single" w:sz="8" w:color="CCEEFF"/>
            </w:tcBorders>
            <w:shd w:val="clear" w:color="auto" w:fill="CCEEFF"/>
          </w:tcPr>
          <w:p>
            <w:pPr>
              <w:spacing w:after="0"/>
              <w:rPr>
                <w:sz w:val="14"/>
                <w:szCs w:val="14"/>
                <w:color w:val="auto"/>
              </w:rPr>
            </w:pPr>
          </w:p>
        </w:tc>
        <w:tc>
          <w:tcPr>
            <w:tcW w:w="5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 years</w:t>
            </w:r>
          </w:p>
        </w:tc>
      </w:tr>
      <w:tr>
        <w:trPr>
          <w:trHeight w:val="180"/>
        </w:trPr>
        <w:tc>
          <w:tcPr>
            <w:tcW w:w="5680" w:type="dxa"/>
            <w:vAlign w:val="bottom"/>
            <w:gridSpan w:val="2"/>
          </w:tcPr>
          <w:p>
            <w:pPr>
              <w:jc w:val="center"/>
              <w:ind w:right="80"/>
              <w:spacing w:after="0"/>
              <w:rPr>
                <w:sz w:val="20"/>
                <w:szCs w:val="20"/>
                <w:color w:val="auto"/>
              </w:rPr>
            </w:pPr>
            <w:r>
              <w:rPr>
                <w:rFonts w:ascii="Arial" w:cs="Arial" w:eastAsia="Arial" w:hAnsi="Arial"/>
                <w:sz w:val="14"/>
                <w:szCs w:val="14"/>
                <w:color w:val="auto"/>
              </w:rPr>
              <w:t>Computers and equipment</w:t>
            </w:r>
          </w:p>
        </w:tc>
        <w:tc>
          <w:tcPr>
            <w:tcW w:w="5600" w:type="dxa"/>
            <w:vAlign w:val="bottom"/>
          </w:tcPr>
          <w:p>
            <w:pPr>
              <w:jc w:val="center"/>
              <w:spacing w:after="0"/>
              <w:rPr>
                <w:sz w:val="20"/>
                <w:szCs w:val="20"/>
                <w:color w:val="auto"/>
              </w:rPr>
            </w:pPr>
            <w:r>
              <w:rPr>
                <w:rFonts w:ascii="Arial" w:cs="Arial" w:eastAsia="Arial" w:hAnsi="Arial"/>
                <w:sz w:val="14"/>
                <w:szCs w:val="14"/>
                <w:color w:val="auto"/>
              </w:rPr>
              <w:t>3 to 5 years</w:t>
            </w:r>
          </w:p>
        </w:tc>
      </w:tr>
      <w:tr>
        <w:trPr>
          <w:trHeight w:val="180"/>
        </w:trPr>
        <w:tc>
          <w:tcPr>
            <w:tcW w:w="5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Fixtures and fittings</w:t>
            </w:r>
          </w:p>
        </w:tc>
        <w:tc>
          <w:tcPr>
            <w:tcW w:w="5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to 5 years</w:t>
            </w:r>
          </w:p>
        </w:tc>
      </w:tr>
      <w:tr>
        <w:trPr>
          <w:trHeight w:val="186"/>
        </w:trPr>
        <w:tc>
          <w:tcPr>
            <w:tcW w:w="5680" w:type="dxa"/>
            <w:vAlign w:val="bottom"/>
            <w:gridSpan w:val="2"/>
          </w:tcPr>
          <w:p>
            <w:pPr>
              <w:jc w:val="center"/>
              <w:ind w:right="60"/>
              <w:spacing w:after="0"/>
              <w:rPr>
                <w:sz w:val="20"/>
                <w:szCs w:val="20"/>
                <w:color w:val="auto"/>
              </w:rPr>
            </w:pPr>
            <w:r>
              <w:rPr>
                <w:rFonts w:ascii="Arial" w:cs="Arial" w:eastAsia="Arial" w:hAnsi="Arial"/>
                <w:sz w:val="14"/>
                <w:szCs w:val="14"/>
                <w:color w:val="auto"/>
              </w:rPr>
              <w:t>Leasehold improvements</w:t>
            </w:r>
          </w:p>
        </w:tc>
        <w:tc>
          <w:tcPr>
            <w:tcW w:w="5600" w:type="dxa"/>
            <w:vAlign w:val="bottom"/>
          </w:tcPr>
          <w:p>
            <w:pPr>
              <w:jc w:val="center"/>
              <w:spacing w:after="0"/>
              <w:rPr>
                <w:sz w:val="20"/>
                <w:szCs w:val="20"/>
                <w:color w:val="auto"/>
              </w:rPr>
            </w:pPr>
            <w:r>
              <w:rPr>
                <w:rFonts w:ascii="Arial" w:cs="Arial" w:eastAsia="Arial" w:hAnsi="Arial"/>
                <w:sz w:val="14"/>
                <w:szCs w:val="14"/>
                <w:color w:val="auto"/>
              </w:rPr>
              <w:t>Shorter of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Goodwill represents the excess of the purchase price of the acquisition over the net fair value of identifiable assets acquired and liabilities assumed. Goodwill amounts are not amortized.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test goodwill for impairment at least annually, in the fourth fiscal quarter, or more frequently if facts or changes in circumstances indicate the carrying amount of goodwill may not be recoverable. We have one reporting unit; therefore, goodwill is tested at the enterprise level. In testing goodwill for impairment, we have the option to first perform a qualitative assessment to determine whether it is more likely than not that the fair value of the reporting units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acquisition, identifiable intangible assets are recorded at fair value and are carried at cost less accumulated amortization. Identifiable intangible assets with finite lives are amortized on a straight-line basis over their estimated useful lives.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Intangible Assets</w:t>
            </w:r>
          </w:p>
        </w:tc>
        <w:tc>
          <w:tcPr>
            <w:tcW w:w="5600" w:type="dxa"/>
            <w:vAlign w:val="bottom"/>
          </w:tcPr>
          <w:p>
            <w:pPr>
              <w:jc w:val="center"/>
              <w:spacing w:after="0"/>
              <w:rPr>
                <w:sz w:val="20"/>
                <w:szCs w:val="20"/>
                <w:color w:val="auto"/>
              </w:rPr>
            </w:pPr>
            <w:r>
              <w:rPr>
                <w:rFonts w:ascii="Arial" w:cs="Arial" w:eastAsia="Arial" w:hAnsi="Arial"/>
                <w:sz w:val="11"/>
                <w:szCs w:val="11"/>
                <w:b w:val="1"/>
                <w:bCs w:val="1"/>
                <w:color w:val="auto"/>
              </w:rPr>
              <w:t>Useful Life</w:t>
            </w:r>
          </w:p>
        </w:tc>
      </w:tr>
      <w:tr>
        <w:trPr>
          <w:trHeight w:val="171"/>
        </w:trPr>
        <w:tc>
          <w:tcPr>
            <w:tcW w:w="5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Trade names</w:t>
            </w:r>
          </w:p>
        </w:tc>
        <w:tc>
          <w:tcPr>
            <w:tcW w:w="80" w:type="dxa"/>
            <w:vAlign w:val="bottom"/>
            <w:tcBorders>
              <w:top w:val="single" w:sz="8" w:color="CCEEFF"/>
            </w:tcBorders>
            <w:shd w:val="clear" w:color="auto" w:fill="CCEEFF"/>
          </w:tcPr>
          <w:p>
            <w:pPr>
              <w:spacing w:after="0"/>
              <w:rPr>
                <w:sz w:val="14"/>
                <w:szCs w:val="14"/>
                <w:color w:val="auto"/>
              </w:rPr>
            </w:pPr>
          </w:p>
        </w:tc>
        <w:tc>
          <w:tcPr>
            <w:tcW w:w="5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3-19 years</w:t>
            </w:r>
          </w:p>
        </w:tc>
      </w:tr>
      <w:tr>
        <w:trPr>
          <w:trHeight w:val="180"/>
        </w:trPr>
        <w:tc>
          <w:tcPr>
            <w:tcW w:w="5680" w:type="dxa"/>
            <w:vAlign w:val="bottom"/>
            <w:gridSpan w:val="2"/>
          </w:tcPr>
          <w:p>
            <w:pPr>
              <w:jc w:val="center"/>
              <w:ind w:right="80"/>
              <w:spacing w:after="0"/>
              <w:rPr>
                <w:sz w:val="20"/>
                <w:szCs w:val="20"/>
                <w:color w:val="auto"/>
              </w:rPr>
            </w:pPr>
            <w:r>
              <w:rPr>
                <w:rFonts w:ascii="Arial" w:cs="Arial" w:eastAsia="Arial" w:hAnsi="Arial"/>
                <w:sz w:val="14"/>
                <w:szCs w:val="14"/>
                <w:color w:val="auto"/>
              </w:rPr>
              <w:t>Domain names</w:t>
            </w:r>
          </w:p>
        </w:tc>
        <w:tc>
          <w:tcPr>
            <w:tcW w:w="5600" w:type="dxa"/>
            <w:vAlign w:val="bottom"/>
          </w:tcPr>
          <w:p>
            <w:pPr>
              <w:jc w:val="center"/>
              <w:spacing w:after="0"/>
              <w:rPr>
                <w:sz w:val="20"/>
                <w:szCs w:val="20"/>
                <w:color w:val="auto"/>
              </w:rPr>
            </w:pPr>
            <w:r>
              <w:rPr>
                <w:rFonts w:ascii="Arial" w:cs="Arial" w:eastAsia="Arial" w:hAnsi="Arial"/>
                <w:sz w:val="14"/>
                <w:szCs w:val="14"/>
                <w:color w:val="auto"/>
              </w:rPr>
              <w:t>15 years</w:t>
            </w:r>
          </w:p>
        </w:tc>
      </w:tr>
      <w:tr>
        <w:trPr>
          <w:trHeight w:val="180"/>
        </w:trPr>
        <w:tc>
          <w:tcPr>
            <w:tcW w:w="5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Customer relationships</w:t>
            </w:r>
          </w:p>
        </w:tc>
        <w:tc>
          <w:tcPr>
            <w:tcW w:w="5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5-13 years</w:t>
            </w:r>
          </w:p>
        </w:tc>
      </w:tr>
      <w:tr>
        <w:trPr>
          <w:trHeight w:val="186"/>
        </w:trPr>
        <w:tc>
          <w:tcPr>
            <w:tcW w:w="5680" w:type="dxa"/>
            <w:vAlign w:val="bottom"/>
            <w:gridSpan w:val="2"/>
          </w:tcPr>
          <w:p>
            <w:pPr>
              <w:jc w:val="center"/>
              <w:ind w:right="80"/>
              <w:spacing w:after="0"/>
              <w:rPr>
                <w:sz w:val="20"/>
                <w:szCs w:val="20"/>
                <w:color w:val="auto"/>
              </w:rPr>
            </w:pPr>
            <w:r>
              <w:rPr>
                <w:rFonts w:ascii="Arial" w:cs="Arial" w:eastAsia="Arial" w:hAnsi="Arial"/>
                <w:sz w:val="14"/>
                <w:szCs w:val="14"/>
                <w:color w:val="auto"/>
              </w:rPr>
              <w:t>Developed technology</w:t>
            </w:r>
          </w:p>
        </w:tc>
        <w:tc>
          <w:tcPr>
            <w:tcW w:w="5600" w:type="dxa"/>
            <w:vAlign w:val="bottom"/>
          </w:tcPr>
          <w:p>
            <w:pPr>
              <w:jc w:val="center"/>
              <w:spacing w:after="0"/>
              <w:rPr>
                <w:sz w:val="20"/>
                <w:szCs w:val="20"/>
                <w:color w:val="auto"/>
              </w:rPr>
            </w:pPr>
            <w:r>
              <w:rPr>
                <w:rFonts w:ascii="Arial" w:cs="Arial" w:eastAsia="Arial" w:hAnsi="Arial"/>
                <w:sz w:val="14"/>
                <w:szCs w:val="14"/>
                <w:color w:val="auto"/>
              </w:rPr>
              <w:t>1-2 years</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valuation of long-lived assets, including intangible assets, property, equipment and software, and operating lease ROU assets are reviewed for impairment whenever events or changes in circumstances indicate that the carrying amount of the asset may not be recoverable. The recoverability of long-lived assets or asset groups is calculated based on the estimated undiscounted future cash flows expected to result from the use and eventual disposition of the asset. If the carrying amount of a long-lived asset or asset group exceeds the sum of the projected undiscounted future cash flows, an impairment charge is recognized as the amount by which the carrying amount of the asset exceeds the fair value of the asset or asset group. Impairment testing is performed at the asset group level.</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Deferred offering costs, which consist of direct incremental legal, consulting, accounting, and other fees related to the sale of the Company’s common stock in the IPO, were initially capitalized and recorded in prepaid expenses and other current assets on the consolidated balance sheets. We incurred $9.3 million of deferred offering costs which were recorded as a reduction of additional paid-in capital on the consolidated balance sheets as of January 31, 2026. There were no deferred offering costs capitalized as of January 31, 2025.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We recognize revenue 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travel bookings and corporate card transaction dollar volume. Fees from our platform customers are 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Platform Customers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Travel Supply and Payment Partner Fees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Revenue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Revenue is deferred when we have the right to invoice in advance of performance under a customer contract. We typically invoice platform customers for access to our cloud-based travel and expense management platforms annually in advance, upon execution of the initial contract or subsequent renewal. Invoices are generally payable within 30 to 60 days. The current portion of deferred revenue balances will be recognized during the following 12-month period. The non-current portion of deferred revenue balances will be recognized beyond the next 12-month period.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Acquisition Costs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capitalize incremental costs of obtaining a contract with a customer if the costs are recoverable. These costs, which consist of sales commissions earned at the time a platform customer enters into a contract under the terms of our sales compensation plans, are deferred and amortized on a straight-line basis over the period of benefit, which we have estimated to be five years. All other compensation earned subsequent to a customer entering into a contract, including those that may be earned at the time of customer launch, are expensed as incurred. We estimate the period of benefit by primarily taking into consideration the average customer life and life of our technology, among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 Expenses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The Company expenses certain sales and marketing costs, including promotional expenses, as incurred.</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Advertising costs are expensed as incurred in sales and marketing expense in the consolidated statements of operations and amounted to $35.0 million, $22.3 million and $12.4 million for the years ended January 31, 2026, 2025, and 2024,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the allocation of certain corporate costs, and bad debt expenses. General and administrative expenses are expensed as incurred.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measure stock-based compensation expense for all stock-based awards, granted or modified, based on the estimated fair value of the award on the grant date. Stock-based compensation expense is recognized on a straight-line basis over the requisite service period for stock-based awards with only time-based service vesting conditions. Forfeitures are recognized as they occur. We estimate the grant-date fair value of stock options using the Black-Scholes option pricing model. The Black-Scholes option pricing model requires the input of highly subjective assumptions, including the fair value of the underlying common stock for options granted prior to the Company’s IPO, the expected term of the option and the expected volatility of the price of the Company’s common stock. The Black-Scholes assumptions as summarized as follows: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Fair value of common stock </w:t>
      </w:r>
      <w:r>
        <w:rPr>
          <w:rFonts w:ascii="Arial" w:cs="Arial" w:eastAsia="Arial" w:hAnsi="Arial"/>
          <w:sz w:val="14"/>
          <w:szCs w:val="14"/>
          <w:color w:val="auto"/>
        </w:rPr>
        <w:t>— Prior to the IPO, as the Company’s common stock was not yet publicly traded, the Company was required to estimate the fair value of its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as discussed in “Common Stock Valuations” below. After the Company’s IPO, the fair value is determined using the closing price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Dividend Yield </w:t>
      </w:r>
      <w:r>
        <w:rPr>
          <w:rFonts w:ascii="Arial" w:cs="Arial" w:eastAsia="Arial" w:hAnsi="Arial"/>
          <w:sz w:val="14"/>
          <w:szCs w:val="14"/>
          <w:color w:val="auto"/>
        </w:rPr>
        <w:t>— The Company has never declared or paid any cash dividends and does not presently plan to pay cash dividends in the foreseeable future and applied an</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dividend yield of zero.</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Risk-Free Interest Rate </w:t>
      </w:r>
      <w:r>
        <w:rPr>
          <w:rFonts w:ascii="Arial" w:cs="Arial" w:eastAsia="Arial" w:hAnsi="Arial"/>
          <w:sz w:val="14"/>
          <w:szCs w:val="14"/>
          <w:color w:val="auto"/>
        </w:rPr>
        <w:t>— The risk-free interest rate assumption is based on the yield available on U.S. Treasury zero-coupon issues with a term that approximates the expected</w:t>
      </w:r>
      <w:r>
        <w:rPr>
          <w:rFonts w:ascii="Arial" w:cs="Arial" w:eastAsia="Arial" w:hAnsi="Arial"/>
          <w:sz w:val="14"/>
          <w:szCs w:val="14"/>
          <w:b w:val="1"/>
          <w:bCs w:val="1"/>
          <w:color w:val="auto"/>
        </w:rPr>
        <w:t xml:space="preserve"> </w:t>
      </w:r>
      <w:r>
        <w:rPr>
          <w:rFonts w:ascii="Arial" w:cs="Arial" w:eastAsia="Arial" w:hAnsi="Arial"/>
          <w:sz w:val="14"/>
          <w:szCs w:val="14"/>
          <w:color w:val="auto"/>
        </w:rPr>
        <w:t>term of the option.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Expected Volatility </w:t>
      </w:r>
      <w:r>
        <w:rPr>
          <w:rFonts w:ascii="Arial" w:cs="Arial" w:eastAsia="Arial" w:hAnsi="Arial"/>
          <w:sz w:val="14"/>
          <w:szCs w:val="14"/>
          <w:color w:val="auto"/>
        </w:rPr>
        <w:t>— As a result of the lack of historical and implied volatility data of the Company’s common stock, the expected stock price volatility has been estimated based</w:t>
      </w:r>
      <w:r>
        <w:rPr>
          <w:rFonts w:ascii="Arial" w:cs="Arial" w:eastAsia="Arial" w:hAnsi="Arial"/>
          <w:sz w:val="14"/>
          <w:szCs w:val="14"/>
          <w:b w:val="1"/>
          <w:bCs w:val="1"/>
          <w:color w:val="auto"/>
        </w:rPr>
        <w:t xml:space="preserve"> </w:t>
      </w:r>
      <w:r>
        <w:rPr>
          <w:rFonts w:ascii="Arial" w:cs="Arial" w:eastAsia="Arial" w:hAnsi="Arial"/>
          <w:sz w:val="14"/>
          <w:szCs w:val="14"/>
          <w:color w:val="auto"/>
        </w:rPr>
        <w:t>on the historical volatilities of peer group public companies for a period equivalent to the expected term of the option.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Expected term </w:t>
      </w:r>
      <w:r>
        <w:rPr>
          <w:rFonts w:ascii="Arial" w:cs="Arial" w:eastAsia="Arial" w:hAnsi="Arial"/>
          <w:sz w:val="14"/>
          <w:szCs w:val="14"/>
          <w:color w:val="auto"/>
        </w:rPr>
        <w:t>— The expected term of stock options represents the weighted-average period the stock options are expected to remain outstanding. The Company estimates the</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term based on the simplified method for employee stock options considered to be “plain vanilla” options, as our historical share option exercise experience does not provide a reasonable basis upon which to estimate the expected term. The expected term for options issued to non-employees is the contractual term.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Service-Based Awards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recognize stock-based compensation expense for service-based stock options and restricted stock units (“RSUs”) on a straight-line basis over the requisite service period, which is generally four years, based on the grant date fair value. Stock options generally expire ten years after the date of grant. The Black-Scholes option pricing model is used to estimate the grant date fair value for stock options. Prior to the IPO, the grant date fair value for RSUs was estimated by the Company – refer to “Common Stock Valuations” below. The grant date fair value for RSUs granted following the IPO is based on the closing price of the Company’s common stock on the date of grant.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Awards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has granted RSUs that vest upon satisfaction of both time-based service and performance-based conditions. The time-based service condition for these RSUs is generally four years. The performance-based condition, which was dependent upon the earlier of either a sale of the Company or following the effective date of an IPO, was satisfied in connection with the Company’s IPO. We recognize stock-based compensation expense for RSUs with both a time-based service and performance based vesting condition over the requisite service period using the accelerated attribution method.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Purchase Plan (“ESPP”)</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recognize stock-based compensation expense related to shares issued pursuant to our ESPP on a straight-line basis over the offering period. The ESPP provides for offering periods of approximately twelve-months, and each offering period includes two purchase periods of approximately six months. The ESPP allows eligible employees to purchase shares of our common stock at a 15 percent discount on the lower of the stock price on either (i) the date the offering period begins or (ii) the purchase date. We estimate the fair value of shares to be issued under the ESPP based on a combination of options valued using the Black-Scholes option-pricing model. We determine volatility over an expected term of approximately six months and twelve months based on the historical volatilities of a peer group of public companies due to the lack of historical and implied volatility data of our common stock. We estimate the expected term based on the contractual term.</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fair value of the shares of common stock underlying stock options and RSUs has historically been determined by the Company’s board of directors as there was no public market for the Company’s common stock prior to the effectiveness of the Company’s IPO. The board of directors determined the fair value of the Company’s common stock by considering a number of objective and subjective factors including: contemporaneous valuations of common stock performed by an unrelated valuation specialist,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developments in the business and stage of development, the Company’s operational and financial performance and condition, issuances of redeemable convertible preferred stock and the rights and preferences of redeemable convertible preferred stock relative to common stock, the current condition of capital markets and the likelihood of achieving a liquidity event, such as an initial public offering or sale of the Company, and the lack of marketability of the Company’s common stock, amongst other factors.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Other Related Taxes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Amounts collected from customers and remitted to governmental authorities, which primarily comprise value added taxes in foreign jurisdictions and sales tax in domestic jurisdictions, are presented on a net basis in the consolidated statements of operations given taxes billed to customers are not included as a component of revenue.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Other income (expense), net primarily consists of interest income earned on cash, cash equivalents, and short-term investments, including the amortization of premiums and accretion of discounts related to our marketable debt securities, net realized gains and losses on sales of investments, foreign exchange gains and losses, and other non-operating gains and losses.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on Extinguishment of Debt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Loss on extinguishment of debt consists of losses incurred on the extinguishment of debt instruments.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(Loss) on Fair Value Adjustments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Gain (loss) on fair value adjustments primarily consists of gains and losses as a result of recording our SAFEs, embedded derivative and warrant liabilities at fair value at the end of each reporting period.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record a provision for income taxes for the anticipated tax consequences of the reported results of operations using the asset and liability method. Deferred tax assets and liabilities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of a change in tax rates on deferred tax assets and liabilities is recognized in income in the period that includes the enactment date. The measurement of deferred tax assets is reduced, if necessary, by a valuation allowance for any tax benefits for which future realization is uncertain. We account for the tax effects of global intangible low tax income as a current period expense.</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use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by the taxing authorities, based on the technical merits of the position. The tax benefits recognized in the financial statements from such positions are then measured based on the largest amount of benefit that has a greater than 50% likelihood of being realized upon ultimate settlement. We account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recognized. Interest and penalties related to uncertain tax positions are recognized in the provision for income taxes. Refer to Note 12 — Income Taxes for further information regarding 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Basic and diluted net loss per share attributable to common stockholders is presented in conformity with the two-class method required for companies with participating securities. We consider all series of our redeemable convertible preferred stock, together with warrants to purchase redeemable convertible preferred stock, to be participating securities as the holders of such stock have the right to receive noncumulative dividends on a pari passu basis in the event that a dividend is paid on common stock. Under the two-class method, net losses are not allocated to the participating securities as the participating securities do not have a contractual obligation to share in the Company’s losses.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the two-class method, basic net loss per share attributable to common stockholders is computed by dividing net loss attributable to common stockholders by the weighted average number of shares of common stock outstanding during the period. Diluted net loss per share attributable to common stockholders adjusts basic earnings per share for the potentially dilutive impact of common stock equivalents to the extent they are dilutive. As the Company has reported losses for all periods presented, all potentially dilutive securities are anti-dilutive, and accordingly, basic net loss per share equals diluted net loss per share.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Comprehensive loss is comprised of net loss and other comprehensive income (loss). The primary components of other comprehensive income (loss) are foreign currency translation adjustments arising from the consolidation of foreign legal entities, and unrealized gains and losses on marketable debt securities.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consolidated statements of operations. Other segment items included in consolidated net loss include interest expense, other income (expense), net, loss on extinguishment of debt, gain (loss) on fair value adjustments, and income tax expense, which are presented in the Company’s consolidated statements of operations. The measure of segment assets is reported on the balance sheet as total consolidated assets.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In November 2023, the Financial Accounting Standards Board (FASB) issued ASU 2023-07, </w:t>
      </w:r>
      <w:r>
        <w:rPr>
          <w:rFonts w:ascii="Arial" w:cs="Arial" w:eastAsia="Arial" w:hAnsi="Arial"/>
          <w:sz w:val="14"/>
          <w:szCs w:val="14"/>
          <w:i w:val="1"/>
          <w:iCs w:val="1"/>
          <w:color w:val="auto"/>
        </w:rPr>
        <w:t>Segment Reporting (Topic 280): Improvements to Reportable Segment Disclosures</w:t>
      </w:r>
      <w:r>
        <w:rPr>
          <w:rFonts w:ascii="Arial" w:cs="Arial" w:eastAsia="Arial" w:hAnsi="Arial"/>
          <w:sz w:val="14"/>
          <w:szCs w:val="14"/>
          <w:color w:val="auto"/>
        </w:rPr>
        <w:t xml:space="preserve"> (“ASU 2023-07”), which amends disclosure requirements relating to segment reporting, primarily through enhanced disclosure about significant segment expenses and by requiring disclosure of segment information on an annual and interim basis. The Company adopted ASU 2023-07 as of February 1, 2024 with no material impact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consolidated financial statements. For further information, refer to Segment Information within Note 1 — Description of Business and Significant Accounting Policies.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August 2020, the FASB issued ASU No.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w:t>
      </w:r>
      <w:r>
        <w:rPr>
          <w:rFonts w:ascii="Arial" w:cs="Arial" w:eastAsia="Arial" w:hAnsi="Arial"/>
          <w:sz w:val="14"/>
          <w:szCs w:val="14"/>
          <w:color w:val="auto"/>
        </w:rPr>
        <w:t>(“ASU 2020-06”). ASU 2020-06 is intended to simplify the accounting for convertible instruments by removing certain separation models and to simplify the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for contracts in an entity’s own equity by eliminating the settlement criteria to qualify for a scope exception from derivative accounting. ASU 2020-06 also clarifies the diluted earnings per share calculation when convertible instruments and contracts in an entity’s own equity are involved. The Company adopted ASU 2020-06 as of February 1, 2024 with no material impact to its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 Not Yet Adopted</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which requires entities to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for the Company for its fiscal year beginning February 1, 2026 on a prospective basis. Early adoption and retrospective application are permitted. The Company is currently evaluating the impact of this standard on its consolidated financial statement disclosures.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Statement—Reporting Comprehensive Income—Expense Disaggregation Disclosures (Subtopic 220-40):</w:t>
      </w:r>
      <w:r>
        <w:rPr>
          <w:rFonts w:ascii="Arial" w:cs="Arial" w:eastAsia="Arial" w:hAnsi="Arial"/>
          <w:sz w:val="14"/>
          <w:szCs w:val="14"/>
          <w:color w:val="auto"/>
        </w:rPr>
        <w:t xml:space="preserve">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The new guidance requires disaggregated information about certain income statement expense line items on an annual and interim</w:t>
      </w:r>
      <w:r>
        <w:rPr>
          <w:rFonts w:ascii="Arial" w:cs="Arial" w:eastAsia="Arial" w:hAnsi="Arial"/>
          <w:sz w:val="14"/>
          <w:szCs w:val="14"/>
          <w:i w:val="1"/>
          <w:iCs w:val="1"/>
          <w:color w:val="auto"/>
        </w:rPr>
        <w:t xml:space="preserve"> </w:t>
      </w:r>
      <w:r>
        <w:rPr>
          <w:rFonts w:ascii="Arial" w:cs="Arial" w:eastAsia="Arial" w:hAnsi="Arial"/>
          <w:sz w:val="14"/>
          <w:szCs w:val="14"/>
          <w:color w:val="auto"/>
        </w:rPr>
        <w:t>basis. The standard is effective for the Company for its fiscal year beginning February 1, 2027 and interim periods within its fiscal year beginning February 1, 2028. The guidance may be applied on either a prospective or retrospective basis. Early adoption is permitted. The Company is currently evaluating the impact of this standard on its consolidated financial statement disclosures.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July 2025, the FASB issued ASU 2025-05, </w:t>
      </w:r>
      <w:r>
        <w:rPr>
          <w:rFonts w:ascii="Arial" w:cs="Arial" w:eastAsia="Arial" w:hAnsi="Arial"/>
          <w:sz w:val="14"/>
          <w:szCs w:val="14"/>
          <w:i w:val="1"/>
          <w:iCs w:val="1"/>
          <w:color w:val="auto"/>
        </w:rPr>
        <w:t>Financial Instruments—Credit Losses (Topic 326): Measurement of Credit Losses for Accounts Receivable and Contract Assets</w:t>
      </w:r>
      <w:r>
        <w:rPr>
          <w:rFonts w:ascii="Arial" w:cs="Arial" w:eastAsia="Arial" w:hAnsi="Arial"/>
          <w:sz w:val="14"/>
          <w:szCs w:val="14"/>
          <w:color w:val="auto"/>
        </w:rPr>
        <w:t>, which provides a practical expedient related to the estimation of expected credit losses for current accounts receivable and current 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This guidance is effective for the Company for its fiscal year and all interim periods beginning February 1, 2026 on a prospective basis. Early adoption is permitted. The Company is currently evaluating the impact of the adoption of this guidance on its consolidated financial statements.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 xml:space="preserve">Intangibles-Goodwill and Other-Internal-Use Software (Subtopic 350-40): Targeted Improvements to the Accounting for Internal-Use Software, </w:t>
      </w:r>
      <w:r>
        <w:rPr>
          <w:rFonts w:ascii="Arial" w:cs="Arial" w:eastAsia="Arial" w:hAnsi="Arial"/>
          <w:sz w:val="14"/>
          <w:szCs w:val="14"/>
          <w:color w:val="auto"/>
        </w:rPr>
        <w:t>to modernize the accounting for costs related to internal-use software to more closely align with current software development methods. The guidance removes</w:t>
      </w:r>
      <w:r>
        <w:rPr>
          <w:rFonts w:ascii="Arial" w:cs="Arial" w:eastAsia="Arial" w:hAnsi="Arial"/>
          <w:sz w:val="14"/>
          <w:szCs w:val="14"/>
          <w:i w:val="1"/>
          <w:iCs w:val="1"/>
          <w:color w:val="auto"/>
        </w:rPr>
        <w:t xml:space="preserve"> </w:t>
      </w:r>
      <w:r>
        <w:rPr>
          <w:rFonts w:ascii="Arial" w:cs="Arial" w:eastAsia="Arial" w:hAnsi="Arial"/>
          <w:sz w:val="14"/>
          <w:szCs w:val="14"/>
          <w:color w:val="auto"/>
        </w:rPr>
        <w:t>references to project stages and clarifies when the Company is required to start capitalizing eligible costs. The guidance is effective for the Company for its fiscal year and all interim periods beginning February 1, 2028. Early adoption is permitted. The guidance may be applied prospectively, retrospectively, or via a modified prospective transition method. The Company is currently evaluating the impact of the adoption of this standard on its consolidated financial statements.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In December 2025, the FASB issued ASU 2025-11, </w:t>
      </w:r>
      <w:r>
        <w:rPr>
          <w:rFonts w:ascii="Arial" w:cs="Arial" w:eastAsia="Arial" w:hAnsi="Arial"/>
          <w:sz w:val="14"/>
          <w:szCs w:val="14"/>
          <w:i w:val="1"/>
          <w:iCs w:val="1"/>
          <w:color w:val="auto"/>
        </w:rPr>
        <w:t>Interim Reporting (Topic 270)—Narrow-Scope Improvements</w:t>
      </w:r>
      <w:r>
        <w:rPr>
          <w:rFonts w:ascii="Arial" w:cs="Arial" w:eastAsia="Arial" w:hAnsi="Arial"/>
          <w:sz w:val="14"/>
          <w:szCs w:val="14"/>
          <w:color w:val="auto"/>
        </w:rPr>
        <w:t xml:space="preserve"> which clarifies interim disclosure requirements and the applicability of Topic 270. The standard is effective for the Company for all interim periods within its fiscal year beginning February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2028. The guidance may be applied on either a prospective or retrospective basis. Early adoption is permitted. The Company is currently evaluating the impact of this standard on its consolidated financial statement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REVENUE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Revenue consists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0"/>
        </w:trPr>
        <w:tc>
          <w:tcPr>
            <w:tcW w:w="60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2024</w:t>
            </w:r>
          </w:p>
        </w:tc>
      </w:tr>
      <w:tr>
        <w:trPr>
          <w:trHeight w:val="268"/>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Usage-based revenue</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640,396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490,356</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371,728</w:t>
            </w:r>
          </w:p>
        </w:tc>
      </w:tr>
      <w:tr>
        <w:trPr>
          <w:trHeight w:val="147"/>
        </w:trPr>
        <w:tc>
          <w:tcPr>
            <w:tcW w:w="6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77"/>
        </w:trPr>
        <w:tc>
          <w:tcPr>
            <w:tcW w:w="6080" w:type="dxa"/>
            <w:vAlign w:val="bottom"/>
          </w:tcPr>
          <w:p>
            <w:pPr>
              <w:ind w:left="20"/>
              <w:spacing w:after="0"/>
              <w:rPr>
                <w:sz w:val="20"/>
                <w:szCs w:val="20"/>
                <w:color w:val="auto"/>
              </w:rPr>
            </w:pPr>
            <w:r>
              <w:rPr>
                <w:rFonts w:ascii="Arial" w:cs="Arial" w:eastAsia="Arial" w:hAnsi="Arial"/>
                <w:sz w:val="14"/>
                <w:szCs w:val="14"/>
                <w:color w:val="auto"/>
              </w:rPr>
              <w:t>Subscription revenue</w:t>
            </w: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61,869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46,481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30,528</w:t>
            </w:r>
          </w:p>
        </w:tc>
      </w:tr>
      <w:tr>
        <w:trPr>
          <w:trHeight w:val="147"/>
        </w:trPr>
        <w:tc>
          <w:tcPr>
            <w:tcW w:w="60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289"/>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revenue</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702,265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536,837</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402,256</w:t>
            </w:r>
          </w:p>
        </w:tc>
      </w:tr>
      <w:tr>
        <w:trPr>
          <w:trHeight w:val="151"/>
        </w:trPr>
        <w:tc>
          <w:tcPr>
            <w:tcW w:w="60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Usage-based revenue primarily represents fees from our platform customers earned on a per-booking transaction basis and fees from our travel supply and payment partners, which are generally earned on a per-transaction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revenue by region based on the billing country of customers (in thousands, except percentages):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520"/>
              <w:spacing w:after="0"/>
              <w:rPr>
                <w:sz w:val="20"/>
                <w:szCs w:val="20"/>
                <w:color w:val="auto"/>
              </w:rPr>
            </w:pPr>
            <w:r>
              <w:rPr>
                <w:rFonts w:ascii="Arial" w:cs="Arial" w:eastAsia="Arial" w:hAnsi="Arial"/>
                <w:sz w:val="11"/>
                <w:szCs w:val="11"/>
                <w:b w:val="1"/>
                <w:bCs w:val="1"/>
                <w:color w:val="auto"/>
              </w:rPr>
              <w:t>Year Ended January 31,</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60" w:type="dxa"/>
            <w:vAlign w:val="bottom"/>
            <w:gridSpan w:val="3"/>
          </w:tcPr>
          <w:p>
            <w:pPr>
              <w:jc w:val="right"/>
              <w:ind w:right="1228"/>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80" w:type="dxa"/>
            <w:vAlign w:val="bottom"/>
            <w:gridSpan w:val="3"/>
          </w:tcPr>
          <w:p>
            <w:pPr>
              <w:jc w:val="right"/>
              <w:ind w:right="1248"/>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gridSpan w:val="3"/>
          </w:tcPr>
          <w:p>
            <w:pPr>
              <w:jc w:val="right"/>
              <w:ind w:right="1248"/>
              <w:spacing w:after="0"/>
              <w:rPr>
                <w:sz w:val="20"/>
                <w:szCs w:val="20"/>
                <w:color w:val="auto"/>
              </w:rPr>
            </w:pPr>
            <w:r>
              <w:rPr>
                <w:rFonts w:ascii="Arial" w:cs="Arial" w:eastAsia="Arial" w:hAnsi="Arial"/>
                <w:sz w:val="11"/>
                <w:szCs w:val="11"/>
                <w:b w:val="1"/>
                <w:bCs w:val="1"/>
                <w:color w:val="auto"/>
                <w:w w:val="97"/>
              </w:rPr>
              <w:t>2024</w:t>
            </w:r>
          </w:p>
        </w:tc>
        <w:tc>
          <w:tcPr>
            <w:tcW w:w="0" w:type="dxa"/>
            <w:vAlign w:val="bottom"/>
          </w:tcPr>
          <w:p>
            <w:pPr>
              <w:spacing w:after="0"/>
              <w:rPr>
                <w:sz w:val="1"/>
                <w:szCs w:val="1"/>
                <w:color w:val="auto"/>
              </w:rPr>
            </w:pPr>
          </w:p>
        </w:tc>
      </w:tr>
      <w:tr>
        <w:trPr>
          <w:trHeight w:val="138"/>
        </w:trPr>
        <w:tc>
          <w:tcPr>
            <w:tcW w:w="2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2"/>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ind w:left="140"/>
              <w:spacing w:after="0"/>
              <w:rPr>
                <w:sz w:val="20"/>
                <w:szCs w:val="20"/>
                <w:color w:val="auto"/>
              </w:rPr>
            </w:pPr>
            <w:r>
              <w:rPr>
                <w:rFonts w:ascii="Arial" w:cs="Arial" w:eastAsia="Arial" w:hAnsi="Arial"/>
                <w:sz w:val="10"/>
                <w:szCs w:val="10"/>
                <w:b w:val="1"/>
                <w:bCs w:val="1"/>
                <w:color w:val="auto"/>
              </w:rPr>
              <w:t>Percentage of Revenue</w:t>
            </w:r>
          </w:p>
        </w:tc>
        <w:tc>
          <w:tcPr>
            <w:tcW w:w="260" w:type="dxa"/>
            <w:vAlign w:val="bottom"/>
          </w:tcPr>
          <w:p>
            <w:pPr>
              <w:spacing w:after="0"/>
              <w:rPr>
                <w:sz w:val="21"/>
                <w:szCs w:val="21"/>
                <w:color w:val="auto"/>
              </w:rPr>
            </w:pPr>
          </w:p>
        </w:tc>
        <w:tc>
          <w:tcPr>
            <w:tcW w:w="1000" w:type="dxa"/>
            <w:vAlign w:val="bottom"/>
          </w:tcPr>
          <w:p>
            <w:pPr>
              <w:jc w:val="right"/>
              <w:ind w:right="334"/>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ind w:left="140"/>
              <w:spacing w:after="0"/>
              <w:rPr>
                <w:sz w:val="20"/>
                <w:szCs w:val="20"/>
                <w:color w:val="auto"/>
              </w:rPr>
            </w:pPr>
            <w:r>
              <w:rPr>
                <w:rFonts w:ascii="Arial" w:cs="Arial" w:eastAsia="Arial" w:hAnsi="Arial"/>
                <w:sz w:val="10"/>
                <w:szCs w:val="10"/>
                <w:b w:val="1"/>
                <w:bCs w:val="1"/>
                <w:color w:val="auto"/>
              </w:rPr>
              <w:t>Percentage of Revenue</w:t>
            </w:r>
          </w:p>
        </w:tc>
        <w:tc>
          <w:tcPr>
            <w:tcW w:w="280" w:type="dxa"/>
            <w:vAlign w:val="bottom"/>
          </w:tcPr>
          <w:p>
            <w:pPr>
              <w:spacing w:after="0"/>
              <w:rPr>
                <w:sz w:val="21"/>
                <w:szCs w:val="21"/>
                <w:color w:val="auto"/>
              </w:rPr>
            </w:pPr>
          </w:p>
        </w:tc>
        <w:tc>
          <w:tcPr>
            <w:tcW w:w="1000" w:type="dxa"/>
            <w:vAlign w:val="bottom"/>
          </w:tcPr>
          <w:p>
            <w:pPr>
              <w:jc w:val="right"/>
              <w:ind w:right="352"/>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88"/>
              <w:spacing w:after="0"/>
              <w:rPr>
                <w:sz w:val="20"/>
                <w:szCs w:val="20"/>
                <w:color w:val="auto"/>
              </w:rPr>
            </w:pPr>
            <w:r>
              <w:rPr>
                <w:rFonts w:ascii="Arial" w:cs="Arial" w:eastAsia="Arial" w:hAnsi="Arial"/>
                <w:sz w:val="10"/>
                <w:szCs w:val="10"/>
                <w:b w:val="1"/>
                <w:bCs w:val="1"/>
                <w:color w:val="auto"/>
              </w:rPr>
              <w:t>Percentage of Revenue</w:t>
            </w:r>
          </w:p>
        </w:tc>
        <w:tc>
          <w:tcPr>
            <w:tcW w:w="0" w:type="dxa"/>
            <w:vAlign w:val="bottom"/>
          </w:tcPr>
          <w:p>
            <w:pPr>
              <w:spacing w:after="0"/>
              <w:rPr>
                <w:sz w:val="1"/>
                <w:szCs w:val="1"/>
                <w:color w:val="auto"/>
              </w:rPr>
            </w:pPr>
          </w:p>
        </w:tc>
      </w:tr>
      <w:tr>
        <w:trPr>
          <w:trHeight w:val="140"/>
        </w:trPr>
        <w:tc>
          <w:tcPr>
            <w:tcW w:w="2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435,828</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315,807</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217,427</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47"/>
        </w:trPr>
        <w:tc>
          <w:tcPr>
            <w:tcW w:w="2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58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145,936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129,412</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24 %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115,234</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 of World</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120,501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91,618</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69,595</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91"/>
        </w:trPr>
        <w:tc>
          <w:tcPr>
            <w:tcW w:w="258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58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702,265</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536,837</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402,256</w:t>
            </w: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26"/>
        </w:trPr>
        <w:tc>
          <w:tcPr>
            <w:tcW w:w="2580" w:type="dxa"/>
            <w:vAlign w:val="bottom"/>
            <w:vMerge w:val="restart"/>
          </w:tcPr>
          <w:p>
            <w:pPr>
              <w:spacing w:after="0"/>
              <w:rPr>
                <w:sz w:val="20"/>
                <w:szCs w:val="20"/>
                <w:color w:val="auto"/>
              </w:rPr>
            </w:pPr>
            <w:r>
              <w:rPr>
                <w:rFonts w:ascii="Arial" w:cs="Arial" w:eastAsia="Arial" w:hAnsi="Arial"/>
                <w:sz w:val="13"/>
                <w:szCs w:val="13"/>
                <w:color w:val="auto"/>
              </w:rPr>
              <w:t>________________</w:t>
            </w: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3"/>
          <w:szCs w:val="13"/>
          <w:color w:val="auto"/>
        </w:rPr>
        <w:t>(1)  No individual country within Rest of World comprises more than 10% of total revenue.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Unbilled Receivables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$72.3 million and $51.9 million, respectively, as of January 31, 2026 and 2025. Unbilled accounts receivable is recorded within accounts receivable, net on the accompanying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Liabilities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During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January 31, 2026 and 2025, revenue recognized from the deferred revenue balance at the beginning of the respective period was $31.4 million and $27.7 million.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 multi-year subscription contracts were $62.7 million as of January 31, 2026 of which we expect to recognize approximately 54% as revenue over the next 12 months, 32% as revenue over the subsequent 13 to 24 months, and the remainder thereafter.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and Allowance for Expected Credit Losses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allowance for expected credit losses for the years ended January 31, 2026, 2025 and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Year Ended January 31,</w:t>
            </w:r>
          </w:p>
        </w:tc>
        <w:tc>
          <w:tcPr>
            <w:tcW w:w="1680" w:type="dxa"/>
            <w:vAlign w:val="bottom"/>
            <w:tcBorders>
              <w:bottom w:val="single" w:sz="8" w:color="auto"/>
            </w:tcBorders>
          </w:tcPr>
          <w:p>
            <w:pPr>
              <w:spacing w:after="0"/>
              <w:rPr>
                <w:sz w:val="13"/>
                <w:szCs w:val="13"/>
                <w:color w:val="auto"/>
              </w:rPr>
            </w:pPr>
          </w:p>
        </w:tc>
      </w:tr>
      <w:tr>
        <w:trPr>
          <w:trHeight w:val="150"/>
        </w:trPr>
        <w:tc>
          <w:tcPr>
            <w:tcW w:w="60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5,135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center"/>
              <w:ind w:left="974"/>
              <w:spacing w:after="0"/>
              <w:rPr>
                <w:sz w:val="20"/>
                <w:szCs w:val="20"/>
                <w:color w:val="auto"/>
              </w:rPr>
            </w:pPr>
            <w:r>
              <w:rPr>
                <w:rFonts w:ascii="Arial" w:cs="Arial" w:eastAsia="Arial" w:hAnsi="Arial"/>
                <w:sz w:val="14"/>
                <w:szCs w:val="14"/>
                <w:color w:val="auto"/>
              </w:rPr>
              <w:t>4,270</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center"/>
              <w:ind w:left="1132"/>
              <w:spacing w:after="0"/>
              <w:rPr>
                <w:sz w:val="20"/>
                <w:szCs w:val="20"/>
                <w:color w:val="auto"/>
              </w:rPr>
            </w:pPr>
            <w:r>
              <w:rPr>
                <w:rFonts w:ascii="Arial" w:cs="Arial" w:eastAsia="Arial" w:hAnsi="Arial"/>
                <w:sz w:val="14"/>
                <w:szCs w:val="14"/>
                <w:color w:val="auto"/>
              </w:rPr>
              <w:t>2,270</w:t>
            </w:r>
          </w:p>
        </w:tc>
      </w:tr>
      <w:tr>
        <w:trPr>
          <w:trHeight w:val="180"/>
        </w:trPr>
        <w:tc>
          <w:tcPr>
            <w:tcW w:w="608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1080" w:type="dxa"/>
            <w:vAlign w:val="bottom"/>
          </w:tcPr>
          <w:p>
            <w:pPr>
              <w:spacing w:after="0"/>
              <w:rPr>
                <w:sz w:val="15"/>
                <w:szCs w:val="15"/>
                <w:color w:val="auto"/>
              </w:rPr>
            </w:pPr>
          </w:p>
        </w:tc>
        <w:tc>
          <w:tcPr>
            <w:tcW w:w="600" w:type="dxa"/>
            <w:vAlign w:val="bottom"/>
          </w:tcPr>
          <w:p>
            <w:pPr>
              <w:jc w:val="center"/>
              <w:ind w:left="49"/>
              <w:spacing w:after="0"/>
              <w:rPr>
                <w:sz w:val="20"/>
                <w:szCs w:val="20"/>
                <w:color w:val="auto"/>
              </w:rPr>
            </w:pPr>
            <w:r>
              <w:rPr>
                <w:rFonts w:ascii="Arial" w:cs="Arial" w:eastAsia="Arial" w:hAnsi="Arial"/>
                <w:sz w:val="14"/>
                <w:szCs w:val="14"/>
                <w:color w:val="auto"/>
              </w:rPr>
              <w:t>5,888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ind w:left="974"/>
              <w:spacing w:after="0"/>
              <w:rPr>
                <w:sz w:val="20"/>
                <w:szCs w:val="20"/>
                <w:color w:val="auto"/>
              </w:rPr>
            </w:pPr>
            <w:r>
              <w:rPr>
                <w:rFonts w:ascii="Arial" w:cs="Arial" w:eastAsia="Arial" w:hAnsi="Arial"/>
                <w:sz w:val="14"/>
                <w:szCs w:val="14"/>
                <w:color w:val="auto"/>
              </w:rPr>
              <w:t>3,764</w:t>
            </w:r>
          </w:p>
        </w:tc>
        <w:tc>
          <w:tcPr>
            <w:tcW w:w="80" w:type="dxa"/>
            <w:vAlign w:val="bottom"/>
          </w:tcPr>
          <w:p>
            <w:pPr>
              <w:spacing w:after="0"/>
              <w:rPr>
                <w:sz w:val="15"/>
                <w:szCs w:val="15"/>
                <w:color w:val="auto"/>
              </w:rPr>
            </w:pPr>
          </w:p>
        </w:tc>
        <w:tc>
          <w:tcPr>
            <w:tcW w:w="1680" w:type="dxa"/>
            <w:vAlign w:val="bottom"/>
          </w:tcPr>
          <w:p>
            <w:pPr>
              <w:jc w:val="center"/>
              <w:ind w:left="1132"/>
              <w:spacing w:after="0"/>
              <w:rPr>
                <w:sz w:val="20"/>
                <w:szCs w:val="20"/>
                <w:color w:val="auto"/>
              </w:rPr>
            </w:pPr>
            <w:r>
              <w:rPr>
                <w:rFonts w:ascii="Arial" w:cs="Arial" w:eastAsia="Arial" w:hAnsi="Arial"/>
                <w:sz w:val="14"/>
                <w:szCs w:val="14"/>
                <w:color w:val="auto"/>
              </w:rPr>
              <w:t>4,488</w:t>
            </w: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written off, recoveries and other adjustments</w:t>
            </w: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ind w:left="49"/>
              <w:spacing w:after="0"/>
              <w:rPr>
                <w:sz w:val="20"/>
                <w:szCs w:val="20"/>
                <w:color w:val="auto"/>
              </w:rPr>
            </w:pPr>
            <w:r>
              <w:rPr>
                <w:rFonts w:ascii="Arial" w:cs="Arial" w:eastAsia="Arial" w:hAnsi="Arial"/>
                <w:sz w:val="14"/>
                <w:szCs w:val="14"/>
                <w:color w:val="auto"/>
                <w:w w:val="99"/>
              </w:rPr>
              <w:t>(4,561)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4"/>
                <w:szCs w:val="14"/>
                <w:color w:val="auto"/>
                <w:w w:val="99"/>
              </w:rPr>
              <w:t>(2,899)</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center"/>
              <w:ind w:left="1132"/>
              <w:spacing w:after="0"/>
              <w:rPr>
                <w:sz w:val="20"/>
                <w:szCs w:val="20"/>
                <w:color w:val="auto"/>
              </w:rPr>
            </w:pPr>
            <w:r>
              <w:rPr>
                <w:rFonts w:ascii="Arial" w:cs="Arial" w:eastAsia="Arial" w:hAnsi="Arial"/>
                <w:sz w:val="14"/>
                <w:szCs w:val="14"/>
                <w:color w:val="auto"/>
                <w:w w:val="99"/>
              </w:rPr>
              <w:t>(2,488)</w:t>
            </w: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108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rPr>
              <w:t>6,462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center"/>
              <w:ind w:left="974"/>
              <w:spacing w:after="0"/>
              <w:rPr>
                <w:sz w:val="20"/>
                <w:szCs w:val="20"/>
                <w:color w:val="auto"/>
              </w:rPr>
            </w:pPr>
            <w:r>
              <w:rPr>
                <w:rFonts w:ascii="Arial" w:cs="Arial" w:eastAsia="Arial" w:hAnsi="Arial"/>
                <w:sz w:val="14"/>
                <w:szCs w:val="14"/>
                <w:color w:val="auto"/>
              </w:rPr>
              <w:t>5,135</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center"/>
              <w:ind w:left="1132"/>
              <w:spacing w:after="0"/>
              <w:rPr>
                <w:sz w:val="20"/>
                <w:szCs w:val="20"/>
                <w:color w:val="auto"/>
              </w:rPr>
            </w:pPr>
            <w:r>
              <w:rPr>
                <w:rFonts w:ascii="Arial" w:cs="Arial" w:eastAsia="Arial" w:hAnsi="Arial"/>
                <w:sz w:val="14"/>
                <w:szCs w:val="14"/>
                <w:color w:val="auto"/>
              </w:rPr>
              <w:t>4,270</w:t>
            </w: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Card Receivables and Allowance for Expected Credit Losses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corporate card receivables allowance for expected credit losses for the years ended January 31, 2026, 2025 and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0"/>
        </w:trPr>
        <w:tc>
          <w:tcPr>
            <w:tcW w:w="60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1080" w:type="dxa"/>
            <w:vAlign w:val="bottom"/>
            <w:shd w:val="clear" w:color="auto" w:fill="CCEEFF"/>
          </w:tcPr>
          <w:p>
            <w:pPr>
              <w:jc w:val="right"/>
              <w:ind w:right="93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3,332</w:t>
            </w:r>
          </w:p>
        </w:tc>
      </w:tr>
      <w:tr>
        <w:trPr>
          <w:trHeight w:val="180"/>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written off, recoveries and other adjustments</w:t>
            </w:r>
          </w:p>
        </w:tc>
        <w:tc>
          <w:tcPr>
            <w:tcW w:w="10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w:t>
            </w:r>
          </w:p>
        </w:tc>
      </w:tr>
      <w:tr>
        <w:trPr>
          <w:trHeight w:val="171"/>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108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r>
      <w:tr>
        <w:trPr>
          <w:trHeight w:val="20"/>
        </w:trPr>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Acquisition Costs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years ended January 31, 2026 and 2025, we capitalized $24.0 million, and $23.7 million, respectively, of contract acquisition costs and recognized related amortization expense of $6.3 million and $5.6 million, respectively. During the year ended January 31, 2024, no contract acquisition costs were capitalized and we recognized amortization expense of $7.0 million. Amortization expense is included in sales and marketing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INVESTMENTS AND FAIR VALUE MEASUREMENTS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Company’s cash equivalents and investments on the consolidated balance sheets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5"/>
          </w:tcPr>
          <w:p>
            <w:pPr>
              <w:ind w:left="960"/>
              <w:spacing w:after="0"/>
              <w:rPr>
                <w:sz w:val="20"/>
                <w:szCs w:val="20"/>
                <w:color w:val="auto"/>
              </w:rPr>
            </w:pPr>
            <w:r>
              <w:rPr>
                <w:rFonts w:ascii="Arial" w:cs="Arial" w:eastAsia="Arial" w:hAnsi="Arial"/>
                <w:sz w:val="11"/>
                <w:szCs w:val="11"/>
                <w:b w:val="1"/>
                <w:bCs w:val="1"/>
                <w:color w:val="auto"/>
              </w:rPr>
              <w:t>As of January 31, 2026</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150"/>
        </w:trPr>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Amortized Cost</w:t>
            </w:r>
          </w:p>
        </w:tc>
        <w:tc>
          <w:tcPr>
            <w:tcW w:w="16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 Gains</w:t>
            </w:r>
          </w:p>
        </w:tc>
        <w:tc>
          <w:tcPr>
            <w:tcW w:w="14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Arial" w:cs="Arial" w:eastAsia="Arial" w:hAnsi="Arial"/>
                <w:sz w:val="11"/>
                <w:szCs w:val="11"/>
                <w:b w:val="1"/>
                <w:bCs w:val="1"/>
                <w:color w:val="auto"/>
              </w:rPr>
              <w:t>Gross Unrealized Losses</w:t>
            </w:r>
          </w:p>
        </w:tc>
        <w:tc>
          <w:tcPr>
            <w:tcW w:w="220" w:type="dxa"/>
            <w:vAlign w:val="bottom"/>
          </w:tcPr>
          <w:p>
            <w:pPr>
              <w:spacing w:after="0"/>
              <w:rPr>
                <w:sz w:val="13"/>
                <w:szCs w:val="13"/>
                <w:color w:val="auto"/>
              </w:rPr>
            </w:pPr>
          </w:p>
        </w:tc>
        <w:tc>
          <w:tcPr>
            <w:tcW w:w="1460" w:type="dxa"/>
            <w:vAlign w:val="bottom"/>
          </w:tcPr>
          <w:p>
            <w:pPr>
              <w:jc w:val="right"/>
              <w:ind w:right="251"/>
              <w:spacing w:after="0"/>
              <w:rPr>
                <w:sz w:val="20"/>
                <w:szCs w:val="20"/>
                <w:color w:val="auto"/>
              </w:rPr>
            </w:pPr>
            <w:r>
              <w:rPr>
                <w:rFonts w:ascii="Arial" w:cs="Arial" w:eastAsia="Arial" w:hAnsi="Arial"/>
                <w:sz w:val="11"/>
                <w:szCs w:val="11"/>
                <w:b w:val="1"/>
                <w:bCs w:val="1"/>
                <w:color w:val="auto"/>
              </w:rPr>
              <w:t>Estimate Fair Value</w:t>
            </w:r>
          </w:p>
        </w:tc>
      </w:tr>
      <w:tr>
        <w:trPr>
          <w:trHeight w:val="16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2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Money market funds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129,893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129,893</w:t>
            </w:r>
          </w:p>
        </w:tc>
      </w:tr>
      <w:tr>
        <w:trPr>
          <w:trHeight w:val="180"/>
        </w:trPr>
        <w:tc>
          <w:tcPr>
            <w:tcW w:w="4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40,758</w:t>
            </w:r>
          </w:p>
        </w:tc>
      </w:tr>
      <w:tr>
        <w:trPr>
          <w:trHeight w:val="171"/>
        </w:trPr>
        <w:tc>
          <w:tcPr>
            <w:tcW w:w="4320" w:type="dxa"/>
            <w:vAlign w:val="bottom"/>
          </w:tcPr>
          <w:p>
            <w:pPr>
              <w:ind w:left="180"/>
              <w:spacing w:after="0"/>
              <w:rPr>
                <w:sz w:val="20"/>
                <w:szCs w:val="20"/>
                <w:color w:val="auto"/>
              </w:rPr>
            </w:pPr>
            <w:r>
              <w:rPr>
                <w:rFonts w:ascii="Arial" w:cs="Arial" w:eastAsia="Arial" w:hAnsi="Arial"/>
                <w:sz w:val="14"/>
                <w:szCs w:val="14"/>
                <w:color w:val="auto"/>
              </w:rPr>
              <w:t>Total cash equivalents</w:t>
            </w:r>
          </w:p>
        </w:tc>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170,651</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ind w:left="1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170,651</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U.S. government and agency securities</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103,458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103,496</w:t>
            </w:r>
          </w:p>
        </w:tc>
      </w:tr>
      <w:tr>
        <w:trPr>
          <w:trHeight w:val="180"/>
        </w:trPr>
        <w:tc>
          <w:tcPr>
            <w:tcW w:w="4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24,087</w:t>
            </w:r>
          </w:p>
        </w:tc>
      </w:tr>
      <w:tr>
        <w:trPr>
          <w:trHeight w:val="180"/>
        </w:trPr>
        <w:tc>
          <w:tcPr>
            <w:tcW w:w="43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Corporate bonds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29,411</w:t>
            </w:r>
          </w:p>
        </w:tc>
      </w:tr>
      <w:tr>
        <w:trPr>
          <w:trHeight w:val="171"/>
        </w:trPr>
        <w:tc>
          <w:tcPr>
            <w:tcW w:w="4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short-term investments</w:t>
            </w: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156,932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156,994</w:t>
            </w:r>
          </w:p>
        </w:tc>
      </w:tr>
      <w:tr>
        <w:trPr>
          <w:trHeight w:val="171"/>
        </w:trPr>
        <w:tc>
          <w:tcPr>
            <w:tcW w:w="4320" w:type="dxa"/>
            <w:vAlign w:val="bottom"/>
          </w:tcPr>
          <w:p>
            <w:pPr>
              <w:ind w:left="280"/>
              <w:spacing w:after="0"/>
              <w:rPr>
                <w:sz w:val="20"/>
                <w:szCs w:val="20"/>
                <w:color w:val="auto"/>
              </w:rPr>
            </w:pPr>
            <w:r>
              <w:rPr>
                <w:rFonts w:ascii="Arial" w:cs="Arial" w:eastAsia="Arial" w:hAnsi="Arial"/>
                <w:sz w:val="14"/>
                <w:szCs w:val="14"/>
                <w:color w:val="auto"/>
              </w:rPr>
              <w:t>Total cash equivalents and investments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327,583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327,645</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had no balances in investments as of January 31, 2025. The Company’s investments consist of available-for-sale debt securities. The Company considers debt securities as available for use in current operations, including those with maturity dates beyond one year, and therefore classifies these securities as short-term investments on the consolidated balance sheets. The Company included $0.8 million of interest receivable within prepaid expenses and other current assets on the consolidated balance sheets as of January 31, 2026.</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Gross unrealized losses on the Company’s available-for-sale debt securities were not material as of January 31, 2026. For investments with unrealized loss positions, the Company does not intend to sell these securities and it is more likely than not that the Company will hold these securities until maturity or a recovery of the cost basis.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there was no allowance for credit losses related to our available-for-sale debt securities. As of January 31, 2026, the weighted-average remaining maturity of our available-for-sale debt securities was less than one year, and the contractual maturities of our available-for-sale debt securities did not exceed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Measured at Fair Value on a Recurring Basis</w:t>
      </w:r>
    </w:p>
    <w:p>
      <w:pPr>
        <w:spacing w:after="0" w:line="13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following table presents the fair value hierarchy for the Company’s assets and liabilities measured at fair value on a recurring basis based on the three-tier fair value hierarchy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1"/>
                <w:szCs w:val="11"/>
                <w:b w:val="1"/>
                <w:bCs w:val="1"/>
                <w:color w:val="auto"/>
              </w:rPr>
              <w:t>As of January 31, 2026</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43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Level 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Total</w:t>
            </w:r>
          </w:p>
        </w:tc>
      </w:tr>
      <w:tr>
        <w:trPr>
          <w:trHeight w:val="161"/>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4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129,893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54"/>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129,893</w:t>
            </w: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Commercial paper</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40,758</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40,758</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U.S. government and agency securities</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103,496</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103,496</w:t>
            </w:r>
          </w:p>
        </w:tc>
      </w:tr>
      <w:tr>
        <w:trPr>
          <w:trHeight w:val="180"/>
        </w:trPr>
        <w:tc>
          <w:tcPr>
            <w:tcW w:w="4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24,087</w:t>
            </w: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Corporate bonds</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29,411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29,411</w:t>
            </w:r>
          </w:p>
        </w:tc>
      </w:tr>
      <w:tr>
        <w:trPr>
          <w:trHeight w:val="196"/>
        </w:trPr>
        <w:tc>
          <w:tcPr>
            <w:tcW w:w="4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financial assets</w:t>
            </w: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327,645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323"/>
        </w:trPr>
        <w:tc>
          <w:tcPr>
            <w:tcW w:w="4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1"/>
                <w:szCs w:val="11"/>
                <w:b w:val="1"/>
                <w:bCs w:val="1"/>
                <w:color w:val="auto"/>
              </w:rPr>
              <w:t>As of January 31, 2025</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0"/>
        </w:trPr>
        <w:tc>
          <w:tcPr>
            <w:tcW w:w="43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Level 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Total</w:t>
            </w:r>
          </w:p>
        </w:tc>
      </w:tr>
      <w:tr>
        <w:trPr>
          <w:trHeight w:val="161"/>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4320" w:type="dxa"/>
            <w:vAlign w:val="bottom"/>
          </w:tcPr>
          <w:p>
            <w:pPr>
              <w:ind w:left="100"/>
              <w:spacing w:after="0"/>
              <w:rPr>
                <w:sz w:val="20"/>
                <w:szCs w:val="20"/>
                <w:color w:val="auto"/>
              </w:rPr>
            </w:pPr>
            <w:r>
              <w:rPr>
                <w:rFonts w:ascii="Arial" w:cs="Arial" w:eastAsia="Arial" w:hAnsi="Arial"/>
                <w:sz w:val="14"/>
                <w:szCs w:val="14"/>
                <w:color w:val="auto"/>
              </w:rPr>
              <w:t>Redeemable convertible preferred stock warrant liability</w:t>
            </w:r>
          </w:p>
        </w:tc>
        <w:tc>
          <w:tcPr>
            <w:tcW w:w="1080" w:type="dxa"/>
            <w:vAlign w:val="bottom"/>
          </w:tcPr>
          <w:p>
            <w:pPr>
              <w:jc w:val="right"/>
              <w:ind w:right="914"/>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14"/>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5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180"/>
        </w:trPr>
        <w:tc>
          <w:tcPr>
            <w:tcW w:w="4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Embedded derivative liability</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59,820</w:t>
            </w:r>
          </w:p>
        </w:tc>
      </w:tr>
      <w:tr>
        <w:trPr>
          <w:trHeight w:val="171"/>
        </w:trPr>
        <w:tc>
          <w:tcPr>
            <w:tcW w:w="4320" w:type="dxa"/>
            <w:vAlign w:val="bottom"/>
          </w:tcPr>
          <w:p>
            <w:pPr>
              <w:ind w:left="300"/>
              <w:spacing w:after="0"/>
              <w:rPr>
                <w:sz w:val="20"/>
                <w:szCs w:val="20"/>
                <w:color w:val="auto"/>
              </w:rPr>
            </w:pPr>
            <w:r>
              <w:rPr>
                <w:rFonts w:ascii="Arial" w:cs="Arial" w:eastAsia="Arial" w:hAnsi="Arial"/>
                <w:sz w:val="14"/>
                <w:szCs w:val="14"/>
                <w:color w:val="auto"/>
              </w:rPr>
              <w:t>Total financial liabilities</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5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60,247</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60,247</w:t>
            </w: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no financial liabilities were measured at fair value on a recurring basis. As of January 31, 2025, no financial assets were measured at fair value on a recurring basis.</w:t>
      </w:r>
    </w:p>
    <w:p>
      <w:pPr>
        <w:spacing w:after="0" w:line="78" w:lineRule="exact"/>
        <w:rPr>
          <w:sz w:val="20"/>
          <w:szCs w:val="20"/>
          <w:color w:val="auto"/>
        </w:rPr>
      </w:pPr>
    </w:p>
    <w:p>
      <w:pPr>
        <w:ind w:right="820"/>
        <w:spacing w:after="0" w:line="442" w:lineRule="auto"/>
        <w:rPr>
          <w:sz w:val="20"/>
          <w:szCs w:val="20"/>
          <w:color w:val="auto"/>
        </w:rPr>
      </w:pPr>
      <w:r>
        <w:rPr>
          <w:rFonts w:ascii="Arial" w:cs="Arial" w:eastAsia="Arial" w:hAnsi="Arial"/>
          <w:sz w:val="14"/>
          <w:szCs w:val="14"/>
          <w:color w:val="auto"/>
        </w:rPr>
        <w:t xml:space="preserve">There were no transfers between Level 1, Level 2 or Level 3 fair value hierarchy categories of financial instruments during the years ended January 31, 2026 and 2025. </w:t>
      </w:r>
      <w:r>
        <w:rPr>
          <w:rFonts w:ascii="Arial" w:cs="Arial" w:eastAsia="Arial" w:hAnsi="Arial"/>
          <w:sz w:val="14"/>
          <w:szCs w:val="14"/>
          <w:b w:val="1"/>
          <w:bCs w:val="1"/>
          <w:i w:val="1"/>
          <w:iCs w:val="1"/>
          <w:color w:val="auto"/>
        </w:rPr>
        <w:t>Cash Equivalents and Short-term Investments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determines the fair value of its cash equivalents and short-term investments based on pricing from the Company’s service providers and market prices from industry-standard independent data providers. Such market prices may be quoted prices in active markets for identical assets (Level 1 inputs) or pricing determined using inputs other than quoted prices that are observable either directly or indirectly (Level 2 inputs), such as yield curves, volatility factors, credit spreads, default rates, broker and dealer quotes, as well as other relevant economic measures.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Convertible Preferred Stock Warrant Liability</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a loan agreement entered into in December 2015, we issued redeemable convertible preferred stock warrants to purchase 60,757, 30,192, 34,080 and 40,160 shares of Series Seed, Series A, Series A-1 and Series B preferred stock at the stated exercise prices of $0.2469, $0.4968, $0.5853 and $1.8675 per share, respectively.</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January 31, 2025, 40,160 Series B redeemable convertible preferred stock warrants remained outstanding and were recorded at a fair value of $0.4 million. Immediately prior to the IPO, 40,160 Series B redeemable convertible preferred stock warrants remained outstanding and were recorded at a fair value of $ 0.9 million. Upon the closing of the IPO on October 31, 2025, these redeemable convertible preferred stock warrants automatically converted to Class A common stock warrants and were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to equity. The Class A common stock warrants were subsequently exercised, and no Class A common stock warrants remain outstanding as of January 31, 2026.</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fair value of the redeemable convertible preferred stock warrant liability was determined using the Black-Scholes option pricing model. The following assumptions were used to calculate the fair value of the redeemable convertible preferred stock warrant liability as of immediately prior to conversion to equity upon the closing of the IPO on October 31, 2025, and as of January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40" w:type="dxa"/>
            <w:vAlign w:val="bottom"/>
          </w:tcPr>
          <w:p>
            <w:pPr>
              <w:spacing w:after="0"/>
              <w:rPr>
                <w:sz w:val="13"/>
                <w:szCs w:val="13"/>
                <w:color w:val="auto"/>
              </w:rPr>
            </w:pPr>
          </w:p>
        </w:tc>
        <w:tc>
          <w:tcPr>
            <w:tcW w:w="2200" w:type="dxa"/>
            <w:vAlign w:val="bottom"/>
            <w:tcBorders>
              <w:bottom w:val="single" w:sz="8" w:color="auto"/>
            </w:tcBorders>
            <w:gridSpan w:val="3"/>
          </w:tcPr>
          <w:p>
            <w:pPr>
              <w:ind w:left="1740"/>
              <w:spacing w:after="0"/>
              <w:rPr>
                <w:sz w:val="20"/>
                <w:szCs w:val="20"/>
                <w:color w:val="auto"/>
              </w:rPr>
            </w:pPr>
            <w:r>
              <w:rPr>
                <w:rFonts w:ascii="Arial" w:cs="Arial" w:eastAsia="Arial" w:hAnsi="Arial"/>
                <w:sz w:val="11"/>
                <w:szCs w:val="11"/>
                <w:b w:val="1"/>
                <w:bCs w:val="1"/>
                <w:color w:val="auto"/>
              </w:rPr>
              <w:t>As of</w:t>
            </w:r>
          </w:p>
        </w:tc>
        <w:tc>
          <w:tcPr>
            <w:tcW w:w="1540" w:type="dxa"/>
            <w:vAlign w:val="bottom"/>
            <w:tcBorders>
              <w:bottom w:val="single" w:sz="8" w:color="auto"/>
            </w:tcBorders>
          </w:tcPr>
          <w:p>
            <w:pPr>
              <w:spacing w:after="0"/>
              <w:rPr>
                <w:sz w:val="13"/>
                <w:szCs w:val="13"/>
                <w:color w:val="auto"/>
              </w:rPr>
            </w:pPr>
          </w:p>
        </w:tc>
      </w:tr>
      <w:tr>
        <w:trPr>
          <w:trHeight w:val="150"/>
        </w:trPr>
        <w:tc>
          <w:tcPr>
            <w:tcW w:w="7540" w:type="dxa"/>
            <w:vAlign w:val="bottom"/>
          </w:tcPr>
          <w:p>
            <w:pPr>
              <w:spacing w:after="0"/>
              <w:rPr>
                <w:sz w:val="13"/>
                <w:szCs w:val="13"/>
                <w:color w:val="auto"/>
              </w:rPr>
            </w:pPr>
          </w:p>
        </w:tc>
        <w:tc>
          <w:tcPr>
            <w:tcW w:w="2200" w:type="dxa"/>
            <w:vAlign w:val="bottom"/>
            <w:gridSpan w:val="3"/>
          </w:tcPr>
          <w:p>
            <w:pPr>
              <w:ind w:left="460"/>
              <w:spacing w:after="0"/>
              <w:rPr>
                <w:sz w:val="20"/>
                <w:szCs w:val="20"/>
                <w:color w:val="auto"/>
              </w:rPr>
            </w:pPr>
            <w:r>
              <w:rPr>
                <w:rFonts w:ascii="Arial" w:cs="Arial" w:eastAsia="Arial" w:hAnsi="Arial"/>
                <w:sz w:val="11"/>
                <w:szCs w:val="11"/>
                <w:b w:val="1"/>
                <w:bCs w:val="1"/>
                <w:color w:val="auto"/>
              </w:rPr>
              <w:t>October 31, 2025</w:t>
            </w:r>
          </w:p>
        </w:tc>
        <w:tc>
          <w:tcPr>
            <w:tcW w:w="1540" w:type="dxa"/>
            <w:vAlign w:val="bottom"/>
          </w:tcPr>
          <w:p>
            <w:pPr>
              <w:jc w:val="right"/>
              <w:ind w:right="392"/>
              <w:spacing w:after="0"/>
              <w:rPr>
                <w:sz w:val="20"/>
                <w:szCs w:val="20"/>
                <w:color w:val="auto"/>
              </w:rPr>
            </w:pPr>
            <w:r>
              <w:rPr>
                <w:rFonts w:ascii="Arial" w:cs="Arial" w:eastAsia="Arial" w:hAnsi="Arial"/>
                <w:sz w:val="11"/>
                <w:szCs w:val="11"/>
                <w:b w:val="1"/>
                <w:bCs w:val="1"/>
                <w:color w:val="auto"/>
              </w:rPr>
              <w:t>January 31, 2025</w:t>
            </w:r>
          </w:p>
        </w:tc>
      </w:tr>
      <w:tr>
        <w:trPr>
          <w:trHeight w:val="171"/>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Volatility</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50.0 %</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55.0 %</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840" w:type="dxa"/>
            <w:vAlign w:val="bottom"/>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18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75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200" w:type="dxa"/>
            <w:vAlign w:val="bottom"/>
            <w:gridSpan w:val="3"/>
          </w:tcPr>
          <w:p>
            <w:pPr>
              <w:jc w:val="right"/>
              <w:ind w:right="38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the IPO, the redeemable convertible preferred stock warrant liability was recorded within other non-current liabilities on the consolidated balance sheet as of January 31, 2025. Following the IPO, the redeemable convertible preferred stock warrant liability automatically converted to equity classified Class A common stock warrants recorded within additional paid-in capital on the consolidated balance sheet as of January 31, 2026. Changes in fair value are recorded in gain (loss) on fair value adjustments on the accompanying consolidated statements of operations for the years ended January 31, 2026, 2025, and 2024.</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Fair value measurements are highly sensitive to changes in these inputs; significant changes in these inputs would result in a significantly higher or lower fair value. The change in value of the redeemable convertible preferred stock warrant liability is summarized below (in thousands):</w:t>
      </w:r>
    </w:p>
    <w:p>
      <w:pPr>
        <w:sectPr>
          <w:pgSz w:w="11900" w:h="16838" w:orient="portrait"/>
          <w:cols w:equalWidth="0" w:num="1">
            <w:col w:w="11280"/>
          </w:cols>
          <w:pgMar w:left="300" w:top="210" w:right="319" w:bottom="1440" w:gutter="0" w:footer="0" w:header="0"/>
        </w:sectPr>
      </w:pPr>
    </w:p>
    <w:p>
      <w:pPr>
        <w:spacing w:after="0" w:line="110"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Balance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212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shd w:val="clear" w:color="auto" w:fill="CCEEFF"/>
        </w:rPr>
        <w:t>Balance as of January 31, 2025</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14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Reclassification to equity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2026</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Embedded Derivative Liability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1360" w:hanging="1359"/>
        <w:spacing w:after="0"/>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297</w:t>
      </w:r>
    </w:p>
    <w:p>
      <w:pPr>
        <w:spacing w:after="0" w:line="25"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130</w:t>
      </w:r>
    </w:p>
    <w:p>
      <w:pPr>
        <w:spacing w:after="0" w:line="24"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427</w:t>
      </w:r>
    </w:p>
    <w:p>
      <w:pPr>
        <w:spacing w:after="0" w:line="25"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510</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10642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4" w:lineRule="exact"/>
        <w:rPr>
          <w:sz w:val="20"/>
          <w:szCs w:val="20"/>
          <w:color w:val="auto"/>
        </w:rPr>
      </w:pPr>
    </w:p>
    <w:p>
      <w:pPr>
        <w:ind w:left="1460" w:hanging="1459"/>
        <w:spacing w:after="0"/>
        <w:tabs>
          <w:tab w:leader="none" w:pos="1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642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06426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34925</wp:posOffset>
            </wp:positionV>
            <wp:extent cx="10642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8900" w:space="720"/>
            <w:col w:w="1660"/>
          </w:cols>
          <w:pgMar w:left="300" w:top="210" w:right="319" w:bottom="1440" w:gutter="0" w:footer="0" w:header="0"/>
          <w:type w:val="continuous"/>
        </w:sectPr>
      </w:pPr>
    </w:p>
    <w:p>
      <w:pPr>
        <w:jc w:val="both"/>
        <w:spacing w:after="0" w:line="271" w:lineRule="auto"/>
        <w:rPr>
          <w:sz w:val="20"/>
          <w:szCs w:val="20"/>
          <w:color w:val="auto"/>
        </w:rPr>
      </w:pPr>
      <w:r>
        <w:rPr>
          <w:rFonts w:ascii="Arial" w:cs="Arial" w:eastAsia="Arial" w:hAnsi="Arial"/>
          <w:sz w:val="14"/>
          <w:szCs w:val="14"/>
          <w:color w:val="auto"/>
        </w:rPr>
        <w:t>The embedded derivative liability is bifurcated from the convertible notes issued in June 2020. In connection with the IPO, the convertible notes automatically converted into shares of Class A common stock, and the embedded derivative liability was extinguished. Refer to Note 8 — Debt for further information regarding the convertible notes and the conversion upon IPO.</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Prior to the IPO,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involved in this determination. The significant unobservable inputs used in measuring the fair value of the embedded derivative liability include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40" w:type="dxa"/>
            <w:vAlign w:val="bottom"/>
          </w:tcPr>
          <w:p>
            <w:pPr>
              <w:spacing w:after="0"/>
              <w:rPr>
                <w:sz w:val="13"/>
                <w:szCs w:val="13"/>
                <w:color w:val="auto"/>
              </w:rPr>
            </w:pPr>
          </w:p>
        </w:tc>
        <w:tc>
          <w:tcPr>
            <w:tcW w:w="184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As of</w:t>
            </w:r>
          </w:p>
        </w:tc>
      </w:tr>
      <w:tr>
        <w:trPr>
          <w:trHeight w:val="150"/>
        </w:trPr>
        <w:tc>
          <w:tcPr>
            <w:tcW w:w="944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January 31, 2025</w:t>
            </w:r>
          </w:p>
        </w:tc>
      </w:tr>
      <w:tr>
        <w:trPr>
          <w:trHeight w:val="171"/>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 to expiration (in years)</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0.70 - 1.70</w:t>
            </w:r>
          </w:p>
        </w:tc>
      </w:tr>
      <w:tr>
        <w:trPr>
          <w:trHeight w:val="180"/>
        </w:trPr>
        <w:tc>
          <w:tcPr>
            <w:tcW w:w="9440" w:type="dxa"/>
            <w:vAlign w:val="bottom"/>
          </w:tcPr>
          <w:p>
            <w:pPr>
              <w:ind w:left="20"/>
              <w:spacing w:after="0"/>
              <w:rPr>
                <w:sz w:val="20"/>
                <w:szCs w:val="20"/>
                <w:color w:val="auto"/>
              </w:rPr>
            </w:pPr>
            <w:r>
              <w:rPr>
                <w:rFonts w:ascii="Arial" w:cs="Arial" w:eastAsia="Arial" w:hAnsi="Arial"/>
                <w:sz w:val="14"/>
                <w:szCs w:val="14"/>
                <w:color w:val="auto"/>
              </w:rPr>
              <w:t>Time from conversion to maturity (in years)</w:t>
            </w:r>
          </w:p>
        </w:tc>
        <w:tc>
          <w:tcPr>
            <w:tcW w:w="1840" w:type="dxa"/>
            <w:vAlign w:val="bottom"/>
          </w:tcPr>
          <w:p>
            <w:pPr>
              <w:jc w:val="right"/>
              <w:spacing w:after="0"/>
              <w:rPr>
                <w:sz w:val="20"/>
                <w:szCs w:val="20"/>
                <w:color w:val="auto"/>
              </w:rPr>
            </w:pPr>
            <w:r>
              <w:rPr>
                <w:rFonts w:ascii="Arial" w:cs="Arial" w:eastAsia="Arial" w:hAnsi="Arial"/>
                <w:sz w:val="14"/>
                <w:szCs w:val="14"/>
                <w:color w:val="auto"/>
              </w:rPr>
              <w:t>0.65 - 1.65</w:t>
            </w:r>
          </w:p>
        </w:tc>
      </w:tr>
      <w:tr>
        <w:trPr>
          <w:trHeight w:val="180"/>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factor</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r>
      <w:tr>
        <w:trPr>
          <w:trHeight w:val="180"/>
        </w:trPr>
        <w:tc>
          <w:tcPr>
            <w:tcW w:w="944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1840" w:type="dxa"/>
            <w:vAlign w:val="bottom"/>
          </w:tcPr>
          <w:p>
            <w:pPr>
              <w:jc w:val="right"/>
              <w:spacing w:after="0"/>
              <w:rPr>
                <w:sz w:val="20"/>
                <w:szCs w:val="20"/>
                <w:color w:val="auto"/>
              </w:rPr>
            </w:pPr>
            <w:r>
              <w:rPr>
                <w:rFonts w:ascii="Arial" w:cs="Arial" w:eastAsia="Arial" w:hAnsi="Arial"/>
                <w:sz w:val="14"/>
                <w:szCs w:val="14"/>
                <w:color w:val="auto"/>
              </w:rPr>
              <w:t>57.8% - 72.6%</w:t>
            </w:r>
          </w:p>
        </w:tc>
      </w:tr>
      <w:tr>
        <w:trPr>
          <w:trHeight w:val="180"/>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rate</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- 4.2%</w:t>
            </w: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embedded derivative liability was measured at fair value immediately prior to the conversion of the convertible notes upon the completion of the IPO. The fair value of the embedded derivative liability immediately prior to the completion of the IPO was determined by comparing the fair value of the number of shares issued upon the conversion of the convertible notes at the IPO price to the fair value of the number of shares that would have been issued had the convertible notes converted at a $5 billion valuation cap at a discount to the IPO price.</w:t>
      </w:r>
    </w:p>
    <w:p>
      <w:pPr>
        <w:sectPr>
          <w:pgSz w:w="11900" w:h="16838" w:orient="portrait"/>
          <w:cols w:equalWidth="0" w:num="1">
            <w:col w:w="11280"/>
          </w:cols>
          <w:pgMar w:left="300" w:top="210" w:right="31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change in value of the embedded derivative liability is summarized below (in thousands):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212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Extinguishment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179" w:hanging="1179"/>
        <w:spacing w:after="0"/>
        <w:tabs>
          <w:tab w:leader="none" w:pos="1179" w:val="left"/>
        </w:tabs>
        <w:numPr>
          <w:ilvl w:val="0"/>
          <w:numId w:val="36"/>
        </w:numPr>
        <w:rPr>
          <w:rFonts w:ascii="Arial" w:cs="Arial" w:eastAsia="Arial" w:hAnsi="Arial"/>
          <w:sz w:val="14"/>
          <w:szCs w:val="14"/>
          <w:color w:val="auto"/>
        </w:rPr>
      </w:pPr>
      <w:r>
        <w:rPr>
          <w:rFonts w:ascii="Arial" w:cs="Arial" w:eastAsia="Arial" w:hAnsi="Arial"/>
          <w:sz w:val="14"/>
          <w:szCs w:val="14"/>
          <w:color w:val="auto"/>
        </w:rPr>
        <w:t>72,150</w:t>
      </w:r>
    </w:p>
    <w:p>
      <w:pPr>
        <w:spacing w:after="0" w:line="25" w:lineRule="exact"/>
        <w:rPr>
          <w:rFonts w:ascii="Arial" w:cs="Arial" w:eastAsia="Arial" w:hAnsi="Arial"/>
          <w:sz w:val="14"/>
          <w:szCs w:val="14"/>
          <w:color w:val="auto"/>
        </w:rPr>
      </w:pPr>
    </w:p>
    <w:p>
      <w:pPr>
        <w:ind w:left="1119"/>
        <w:spacing w:after="0"/>
        <w:rPr>
          <w:rFonts w:ascii="Arial" w:cs="Arial" w:eastAsia="Arial" w:hAnsi="Arial"/>
          <w:sz w:val="14"/>
          <w:szCs w:val="14"/>
          <w:color w:val="auto"/>
        </w:rPr>
      </w:pPr>
      <w:r>
        <w:rPr>
          <w:rFonts w:ascii="Arial" w:cs="Arial" w:eastAsia="Arial" w:hAnsi="Arial"/>
          <w:sz w:val="13"/>
          <w:szCs w:val="13"/>
          <w:color w:val="auto"/>
        </w:rPr>
        <w:t>(12,330)</w:t>
      </w:r>
    </w:p>
    <w:p>
      <w:pPr>
        <w:spacing w:after="0" w:line="35" w:lineRule="exact"/>
        <w:rPr>
          <w:rFonts w:ascii="Arial" w:cs="Arial" w:eastAsia="Arial" w:hAnsi="Arial"/>
          <w:sz w:val="14"/>
          <w:szCs w:val="14"/>
          <w:color w:val="auto"/>
        </w:rPr>
      </w:pPr>
    </w:p>
    <w:p>
      <w:pPr>
        <w:ind w:left="1179"/>
        <w:spacing w:after="0"/>
        <w:rPr>
          <w:rFonts w:ascii="Arial" w:cs="Arial" w:eastAsia="Arial" w:hAnsi="Arial"/>
          <w:sz w:val="14"/>
          <w:szCs w:val="14"/>
          <w:color w:val="auto"/>
        </w:rPr>
      </w:pPr>
      <w:r>
        <w:rPr>
          <w:rFonts w:ascii="Arial" w:cs="Arial" w:eastAsia="Arial" w:hAnsi="Arial"/>
          <w:sz w:val="14"/>
          <w:szCs w:val="14"/>
          <w:color w:val="auto"/>
        </w:rPr>
        <w:t>59,820</w:t>
      </w:r>
    </w:p>
    <w:p>
      <w:pPr>
        <w:spacing w:after="0" w:line="25" w:lineRule="exact"/>
        <w:rPr>
          <w:rFonts w:ascii="Arial" w:cs="Arial" w:eastAsia="Arial" w:hAnsi="Arial"/>
          <w:sz w:val="14"/>
          <w:szCs w:val="14"/>
          <w:color w:val="auto"/>
        </w:rPr>
      </w:pPr>
    </w:p>
    <w:p>
      <w:pPr>
        <w:ind w:left="1119"/>
        <w:spacing w:after="0"/>
        <w:rPr>
          <w:rFonts w:ascii="Arial" w:cs="Arial" w:eastAsia="Arial" w:hAnsi="Arial"/>
          <w:sz w:val="14"/>
          <w:szCs w:val="14"/>
          <w:color w:val="auto"/>
        </w:rPr>
      </w:pPr>
      <w:r>
        <w:rPr>
          <w:rFonts w:ascii="Arial" w:cs="Arial" w:eastAsia="Arial" w:hAnsi="Arial"/>
          <w:sz w:val="13"/>
          <w:szCs w:val="13"/>
          <w:color w:val="auto"/>
        </w:rPr>
        <w:t>(25,150)</w:t>
      </w:r>
    </w:p>
    <w:p>
      <w:pPr>
        <w:spacing w:after="0" w:line="30" w:lineRule="exact"/>
        <w:rPr>
          <w:rFonts w:ascii="Arial" w:cs="Arial" w:eastAsia="Arial" w:hAnsi="Arial"/>
          <w:sz w:val="14"/>
          <w:szCs w:val="14"/>
          <w:color w:val="auto"/>
        </w:rPr>
      </w:pPr>
    </w:p>
    <w:p>
      <w:pPr>
        <w:ind w:left="1119"/>
        <w:spacing w:after="0"/>
        <w:rPr>
          <w:rFonts w:ascii="Arial" w:cs="Arial" w:eastAsia="Arial" w:hAnsi="Arial"/>
          <w:sz w:val="14"/>
          <w:szCs w:val="14"/>
          <w:color w:val="auto"/>
        </w:rPr>
      </w:pPr>
      <w:r>
        <w:rPr>
          <w:rFonts w:ascii="Arial" w:cs="Arial" w:eastAsia="Arial" w:hAnsi="Arial"/>
          <w:sz w:val="13"/>
          <w:szCs w:val="13"/>
          <w:color w:val="auto"/>
        </w:rPr>
        <w:t>(34,670)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18415</wp:posOffset>
            </wp:positionV>
            <wp:extent cx="106426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16" w:lineRule="exact"/>
        <w:rPr>
          <w:sz w:val="20"/>
          <w:szCs w:val="20"/>
          <w:color w:val="auto"/>
        </w:rPr>
      </w:pPr>
    </w:p>
    <w:p>
      <w:pPr>
        <w:ind w:left="1459" w:hanging="1459"/>
        <w:spacing w:after="0"/>
        <w:tabs>
          <w:tab w:leader="none" w:pos="1459" w:val="left"/>
        </w:tabs>
        <w:numPr>
          <w:ilvl w:val="0"/>
          <w:numId w:val="37"/>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06426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06426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106426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901" w:space="720"/>
            <w:col w:w="1659"/>
          </w:cols>
          <w:pgMar w:left="300" w:top="210" w:right="319" w:bottom="1440" w:gutter="0" w:footer="0" w:header="0"/>
          <w:type w:val="continuous"/>
        </w:sectPr>
      </w:pP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Changes in fair value of the embedded derivative liability are recognized as a component of gain (loss) on fair value adjustments in the accompanying consolidated statements of operations. The loss on extinguishment of the embedded derivative liability was recognized within the consolidated statements of operations during the year ended January 31, 2026 as a component of the loss on debt extinguishment related to the convertible notes. Refer to Note 8 — Debt for further information regarding the convertible notes.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Simple Agreements for Future Equity (SAFEs) and Common Stock Warrants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January 31, 2026, we entered into SAFEs with multiple investors. In connection with the IPO, the SAFEs automatically converted into shares of Class A common stock. Refer to Note 8 — Debt for further information regarding the conversion features and terms of the SAFEs.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issued common stock warrants to investors together with the SAFEs. The number of shares issued upon exercise of the common stock warrants was determined based on a fixed percentage of the fully diluted capitalization prior to the earliest to occur of (a) a deemed liquidation event, (b) a liquidity event, and (c) the date of exercise. The SAFE warrants became exercisable for a fixed number of shares, were reclassified to equity, and were exercised for 1,216,187 shares of Class A common stock in connection with the IPO.</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the IPO, the SAFEs and common stock warrants were measured at fair value on a recurring basis, with changes in fair value recognized as a component of gain (loss) on fair value adjustments in the accompanying consolidated statements of operations. The fair value of the SAFEs was computed using an income approach, and the primary significant unobservable input used in measuring the fair value of the SAFEs was the time until conversion. The fair value of the common stock warrants was computed using the probability weighted expected return method. The significant inputs used in measuring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value of the common stock warrants were the number of shares that would be issued upon exercise of the warrants, the time until conversion, and the discount for lack of marketability. Immediately prior to the IPO, the fair value of the SAFEs and common stock warrants were measured at fair value using the IPO price and fully diluted capitalization.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summary of the changes in the fair value of the SAFEs and common stock warrants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SAFEs</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Common stock warrants</w:t>
            </w:r>
          </w:p>
        </w:tc>
      </w:tr>
      <w:tr>
        <w:trPr>
          <w:trHeight w:val="17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2025</w:t>
            </w: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20" w:type="dxa"/>
            <w:vAlign w:val="bottom"/>
          </w:tcPr>
          <w:p>
            <w:pPr>
              <w:ind w:left="100"/>
              <w:spacing w:after="0"/>
              <w:rPr>
                <w:sz w:val="20"/>
                <w:szCs w:val="20"/>
                <w:color w:val="auto"/>
              </w:rPr>
            </w:pPr>
            <w:r>
              <w:rPr>
                <w:rFonts w:ascii="Arial" w:cs="Arial" w:eastAsia="Arial" w:hAnsi="Arial"/>
                <w:sz w:val="14"/>
                <w:szCs w:val="14"/>
                <w:color w:val="auto"/>
              </w:rPr>
              <w:t>Additions in the period</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127,300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27,700</w:t>
            </w:r>
          </w:p>
        </w:tc>
      </w:tr>
      <w:tr>
        <w:trPr>
          <w:trHeight w:val="180"/>
        </w:trPr>
        <w:tc>
          <w:tcPr>
            <w:tcW w:w="7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fair value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w:t>
            </w:r>
          </w:p>
        </w:tc>
      </w:tr>
      <w:tr>
        <w:trPr>
          <w:trHeight w:val="180"/>
        </w:trPr>
        <w:tc>
          <w:tcPr>
            <w:tcW w:w="7820" w:type="dxa"/>
            <w:vAlign w:val="bottom"/>
          </w:tcPr>
          <w:p>
            <w:pPr>
              <w:ind w:left="100"/>
              <w:spacing w:after="0"/>
              <w:rPr>
                <w:sz w:val="20"/>
                <w:szCs w:val="20"/>
                <w:color w:val="auto"/>
              </w:rPr>
            </w:pPr>
            <w:r>
              <w:rPr>
                <w:rFonts w:ascii="Arial" w:cs="Arial" w:eastAsia="Arial" w:hAnsi="Arial"/>
                <w:sz w:val="14"/>
                <w:szCs w:val="14"/>
                <w:color w:val="auto"/>
              </w:rPr>
              <w:t>Reclassification to equity</w:t>
            </w:r>
          </w:p>
        </w:tc>
        <w:tc>
          <w:tcPr>
            <w:tcW w:w="10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(30,406)</w:t>
            </w:r>
          </w:p>
        </w:tc>
      </w:tr>
      <w:tr>
        <w:trPr>
          <w:trHeight w:val="180"/>
        </w:trPr>
        <w:tc>
          <w:tcPr>
            <w:tcW w:w="7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Conversion</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(196,275)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820" w:type="dxa"/>
            <w:vAlign w:val="bottom"/>
          </w:tcPr>
          <w:p>
            <w:pPr>
              <w:ind w:left="20"/>
              <w:spacing w:after="0"/>
              <w:rPr>
                <w:sz w:val="20"/>
                <w:szCs w:val="20"/>
                <w:color w:val="auto"/>
              </w:rPr>
            </w:pPr>
            <w:r>
              <w:rPr>
                <w:rFonts w:ascii="Arial" w:cs="Arial" w:eastAsia="Arial" w:hAnsi="Arial"/>
                <w:sz w:val="14"/>
                <w:szCs w:val="14"/>
                <w:color w:val="auto"/>
              </w:rPr>
              <w:t>Balance as of January 31, 2026</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Financial Instruments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other financial instruments that are not recognized at fair value on the balance sheet are presented below for disclosure purposes only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1"/>
                <w:szCs w:val="11"/>
                <w:b w:val="1"/>
                <w:bCs w:val="1"/>
                <w:color w:val="auto"/>
              </w:rPr>
              <w:t>As of January 31,</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6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Fair Value Hierarchy</w:t>
            </w:r>
          </w:p>
        </w:tc>
        <w:tc>
          <w:tcPr>
            <w:tcW w:w="112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63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Level 3</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359,200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1560" w:type="dxa"/>
            <w:vAlign w:val="bottom"/>
          </w:tcPr>
          <w:p>
            <w:pPr>
              <w:jc w:val="center"/>
              <w:spacing w:after="0"/>
              <w:rPr>
                <w:sz w:val="20"/>
                <w:szCs w:val="20"/>
                <w:color w:val="auto"/>
              </w:rPr>
            </w:pPr>
            <w:r>
              <w:rPr>
                <w:rFonts w:ascii="Arial" w:cs="Arial" w:eastAsia="Arial" w:hAnsi="Arial"/>
                <w:sz w:val="14"/>
                <w:szCs w:val="14"/>
                <w:color w:val="auto"/>
                <w:w w:val="97"/>
              </w:rPr>
              <w:t>Level 3</w:t>
            </w:r>
          </w:p>
        </w:tc>
        <w:tc>
          <w:tcPr>
            <w:tcW w:w="1120" w:type="dxa"/>
            <w:vAlign w:val="bottom"/>
            <w:gridSpan w:val="3"/>
          </w:tcPr>
          <w:p>
            <w:pPr>
              <w:jc w:val="right"/>
              <w:ind w:right="8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122,464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210,995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ABL facility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Level 3</w:t>
            </w:r>
          </w:p>
        </w:tc>
        <w:tc>
          <w:tcPr>
            <w:tcW w:w="1120" w:type="dxa"/>
            <w:vAlign w:val="bottom"/>
            <w:gridSpan w:val="3"/>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Trade loan facility</w:t>
            </w:r>
          </w:p>
        </w:tc>
        <w:tc>
          <w:tcPr>
            <w:tcW w:w="1560" w:type="dxa"/>
            <w:vAlign w:val="bottom"/>
          </w:tcPr>
          <w:p>
            <w:pPr>
              <w:jc w:val="center"/>
              <w:spacing w:after="0"/>
              <w:rPr>
                <w:sz w:val="20"/>
                <w:szCs w:val="20"/>
                <w:color w:val="auto"/>
              </w:rPr>
            </w:pPr>
            <w:r>
              <w:rPr>
                <w:rFonts w:ascii="Arial" w:cs="Arial" w:eastAsia="Arial" w:hAnsi="Arial"/>
                <w:sz w:val="14"/>
                <w:szCs w:val="14"/>
                <w:color w:val="auto"/>
                <w:w w:val="97"/>
              </w:rPr>
              <w:t>Level 3</w:t>
            </w:r>
          </w:p>
        </w:tc>
        <w:tc>
          <w:tcPr>
            <w:tcW w:w="1120" w:type="dxa"/>
            <w:vAlign w:val="bottom"/>
            <w:gridSpan w:val="3"/>
          </w:tcPr>
          <w:p>
            <w:pPr>
              <w:jc w:val="right"/>
              <w:ind w:right="869"/>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promissory note</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Level 3</w:t>
            </w:r>
          </w:p>
        </w:tc>
        <w:tc>
          <w:tcPr>
            <w:tcW w:w="1120" w:type="dxa"/>
            <w:vAlign w:val="bottom"/>
            <w:gridSpan w:val="3"/>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6120" w:type="dxa"/>
            <w:vAlign w:val="bottom"/>
          </w:tcPr>
          <w:p>
            <w:pPr>
              <w:ind w:left="20"/>
              <w:spacing w:after="0"/>
              <w:rPr>
                <w:sz w:val="20"/>
                <w:szCs w:val="20"/>
                <w:color w:val="auto"/>
              </w:rPr>
            </w:pPr>
            <w:r>
              <w:rPr>
                <w:rFonts w:ascii="Arial" w:cs="Arial" w:eastAsia="Arial" w:hAnsi="Arial"/>
                <w:sz w:val="14"/>
                <w:szCs w:val="14"/>
                <w:color w:val="auto"/>
              </w:rPr>
              <w:t>Other debt</w:t>
            </w:r>
          </w:p>
        </w:tc>
        <w:tc>
          <w:tcPr>
            <w:tcW w:w="1560" w:type="dxa"/>
            <w:vAlign w:val="bottom"/>
          </w:tcPr>
          <w:p>
            <w:pPr>
              <w:jc w:val="center"/>
              <w:spacing w:after="0"/>
              <w:rPr>
                <w:sz w:val="20"/>
                <w:szCs w:val="20"/>
                <w:color w:val="auto"/>
              </w:rPr>
            </w:pPr>
            <w:r>
              <w:rPr>
                <w:rFonts w:ascii="Arial" w:cs="Arial" w:eastAsia="Arial" w:hAnsi="Arial"/>
                <w:sz w:val="14"/>
                <w:szCs w:val="14"/>
                <w:color w:val="auto"/>
                <w:w w:val="97"/>
              </w:rPr>
              <w:t>Level 3</w:t>
            </w:r>
          </w:p>
        </w:tc>
        <w:tc>
          <w:tcPr>
            <w:tcW w:w="1120" w:type="dxa"/>
            <w:vAlign w:val="bottom"/>
            <w:gridSpan w:val="3"/>
          </w:tcPr>
          <w:p>
            <w:pPr>
              <w:jc w:val="right"/>
              <w:ind w:right="8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5"/>
        </w:trPr>
        <w:tc>
          <w:tcPr>
            <w:tcW w:w="6120" w:type="dxa"/>
            <w:vAlign w:val="bottom"/>
          </w:tcPr>
          <w:p>
            <w:pPr>
              <w:spacing w:after="0"/>
              <w:rPr>
                <w:sz w:val="20"/>
                <w:szCs w:val="20"/>
                <w:color w:val="auto"/>
              </w:rPr>
            </w:pPr>
            <w:r>
              <w:rPr>
                <w:rFonts w:ascii="Arial" w:cs="Arial" w:eastAsia="Arial" w:hAnsi="Arial"/>
                <w:sz w:val="14"/>
                <w:szCs w:val="14"/>
                <w:b w:val="1"/>
                <w:bCs w:val="1"/>
                <w:color w:val="auto"/>
              </w:rPr>
              <w:t>NOTE 4 – SUPPLEMENTAL FINANCIAL STATEMENT INFORMATION</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120" w:type="dxa"/>
            <w:vAlign w:val="bottom"/>
          </w:tcPr>
          <w:p>
            <w:pPr>
              <w:spacing w:after="0"/>
              <w:rPr>
                <w:sz w:val="20"/>
                <w:szCs w:val="20"/>
                <w:color w:val="auto"/>
              </w:rPr>
            </w:pPr>
            <w:r>
              <w:rPr>
                <w:rFonts w:ascii="Arial" w:cs="Arial" w:eastAsia="Arial" w:hAnsi="Arial"/>
                <w:sz w:val="14"/>
                <w:szCs w:val="14"/>
                <w:b w:val="1"/>
                <w:bCs w:val="1"/>
                <w:i w:val="1"/>
                <w:iCs w:val="1"/>
                <w:color w:val="auto"/>
              </w:rPr>
              <w:t>Property, Equipment and Software, Net</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6120" w:type="dxa"/>
            <w:vAlign w:val="bottom"/>
          </w:tcPr>
          <w:p>
            <w:pPr>
              <w:spacing w:after="0"/>
              <w:rPr>
                <w:sz w:val="20"/>
                <w:szCs w:val="20"/>
                <w:color w:val="auto"/>
              </w:rPr>
            </w:pPr>
            <w:r>
              <w:rPr>
                <w:rFonts w:ascii="Arial" w:cs="Arial" w:eastAsia="Arial" w:hAnsi="Arial"/>
                <w:sz w:val="14"/>
                <w:szCs w:val="14"/>
                <w:color w:val="auto"/>
              </w:rPr>
              <w:t>Property, equipment and software, net consisted of the following (in thousands):</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6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42424"/>
            </w:tcBorders>
          </w:tcPr>
          <w:p>
            <w:pPr>
              <w:spacing w:after="0"/>
              <w:rPr>
                <w:sz w:val="24"/>
                <w:szCs w:val="24"/>
                <w:color w:val="auto"/>
              </w:rPr>
            </w:pPr>
          </w:p>
        </w:tc>
        <w:tc>
          <w:tcPr>
            <w:tcW w:w="1020" w:type="dxa"/>
            <w:vAlign w:val="bottom"/>
            <w:tcBorders>
              <w:bottom w:val="single" w:sz="8" w:color="242424"/>
            </w:tcBorders>
          </w:tcPr>
          <w:p>
            <w:pPr>
              <w:spacing w:after="0"/>
              <w:rPr>
                <w:sz w:val="24"/>
                <w:szCs w:val="24"/>
                <w:color w:val="auto"/>
              </w:rPr>
            </w:pPr>
          </w:p>
        </w:tc>
        <w:tc>
          <w:tcPr>
            <w:tcW w:w="1320" w:type="dxa"/>
            <w:vAlign w:val="bottom"/>
            <w:tcBorders>
              <w:bottom w:val="single" w:sz="8" w:color="242424"/>
            </w:tcBorders>
            <w:gridSpan w:val="5"/>
          </w:tcPr>
          <w:p>
            <w:pPr>
              <w:jc w:val="right"/>
              <w:ind w:right="69"/>
              <w:spacing w:after="0"/>
              <w:rPr>
                <w:sz w:val="20"/>
                <w:szCs w:val="20"/>
                <w:color w:val="auto"/>
              </w:rPr>
            </w:pPr>
            <w:r>
              <w:rPr>
                <w:rFonts w:ascii="Arial" w:cs="Arial" w:eastAsia="Arial" w:hAnsi="Arial"/>
                <w:sz w:val="11"/>
                <w:szCs w:val="11"/>
                <w:b w:val="1"/>
                <w:bCs w:val="1"/>
                <w:color w:val="auto"/>
              </w:rPr>
              <w:t>As of January 31,</w:t>
            </w:r>
          </w:p>
        </w:tc>
        <w:tc>
          <w:tcPr>
            <w:tcW w:w="1080" w:type="dxa"/>
            <w:vAlign w:val="bottom"/>
            <w:tcBorders>
              <w:bottom w:val="single" w:sz="8" w:color="242424"/>
            </w:tcBorders>
          </w:tcPr>
          <w:p>
            <w:pPr>
              <w:spacing w:after="0"/>
              <w:rPr>
                <w:sz w:val="24"/>
                <w:szCs w:val="24"/>
                <w:color w:val="auto"/>
              </w:rPr>
            </w:pPr>
          </w:p>
        </w:tc>
        <w:tc>
          <w:tcPr>
            <w:tcW w:w="80" w:type="dxa"/>
            <w:vAlign w:val="bottom"/>
            <w:tcBorders>
              <w:bottom w:val="single" w:sz="8" w:color="242424"/>
            </w:tcBorders>
          </w:tcPr>
          <w:p>
            <w:pPr>
              <w:spacing w:after="0"/>
              <w:rPr>
                <w:sz w:val="24"/>
                <w:szCs w:val="24"/>
                <w:color w:val="auto"/>
              </w:rPr>
            </w:pPr>
          </w:p>
        </w:tc>
        <w:tc>
          <w:tcPr>
            <w:tcW w:w="20" w:type="dxa"/>
            <w:vAlign w:val="bottom"/>
            <w:tcBorders>
              <w:bottom w:val="single" w:sz="8" w:color="242424"/>
            </w:tcBorders>
          </w:tcPr>
          <w:p>
            <w:pPr>
              <w:spacing w:after="0"/>
              <w:rPr>
                <w:sz w:val="24"/>
                <w:szCs w:val="24"/>
                <w:color w:val="auto"/>
              </w:rPr>
            </w:pPr>
          </w:p>
        </w:tc>
      </w:tr>
      <w:tr>
        <w:trPr>
          <w:trHeight w:val="150"/>
        </w:trPr>
        <w:tc>
          <w:tcPr>
            <w:tcW w:w="6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2026</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software</w:t>
            </w:r>
          </w:p>
        </w:tc>
        <w:tc>
          <w:tcPr>
            <w:tcW w:w="15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gridSpan w:val="2"/>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42,317</w:t>
            </w:r>
          </w:p>
        </w:tc>
        <w:tc>
          <w:tcPr>
            <w:tcW w:w="20" w:type="dxa"/>
            <w:vAlign w:val="bottom"/>
            <w:tcBorders>
              <w:top w:val="single" w:sz="8" w:color="auto"/>
            </w:tcBorders>
          </w:tcPr>
          <w:p>
            <w:pPr>
              <w:spacing w:after="0"/>
              <w:rPr>
                <w:sz w:val="14"/>
                <w:szCs w:val="14"/>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Computers and equipment</w:t>
            </w: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7,349</w:t>
            </w:r>
          </w:p>
        </w:tc>
        <w:tc>
          <w:tcPr>
            <w:tcW w:w="20" w:type="dxa"/>
            <w:vAlign w:val="bottom"/>
          </w:tcPr>
          <w:p>
            <w:pPr>
              <w:spacing w:after="0"/>
              <w:rPr>
                <w:sz w:val="15"/>
                <w:szCs w:val="15"/>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Fixtures and fittings</w:t>
            </w: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3,561</w:t>
            </w:r>
          </w:p>
        </w:tc>
        <w:tc>
          <w:tcPr>
            <w:tcW w:w="20" w:type="dxa"/>
            <w:vAlign w:val="bottom"/>
          </w:tcPr>
          <w:p>
            <w:pPr>
              <w:spacing w:after="0"/>
              <w:rPr>
                <w:sz w:val="15"/>
                <w:szCs w:val="15"/>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2,779</w:t>
            </w:r>
          </w:p>
        </w:tc>
        <w:tc>
          <w:tcPr>
            <w:tcW w:w="20" w:type="dxa"/>
            <w:vAlign w:val="bottom"/>
          </w:tcPr>
          <w:p>
            <w:pPr>
              <w:spacing w:after="0"/>
              <w:rPr>
                <w:sz w:val="15"/>
                <w:szCs w:val="15"/>
                <w:color w:val="auto"/>
              </w:rPr>
            </w:pPr>
          </w:p>
        </w:tc>
      </w:tr>
      <w:tr>
        <w:trPr>
          <w:trHeight w:val="180"/>
        </w:trPr>
        <w:tc>
          <w:tcPr>
            <w:tcW w:w="61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Construction in progress</w:t>
            </w:r>
            <w:r>
              <w:rPr>
                <w:rFonts w:ascii="Arial" w:cs="Arial" w:eastAsia="Arial" w:hAnsi="Arial"/>
                <w:sz w:val="18"/>
                <w:szCs w:val="18"/>
                <w:color w:val="auto"/>
                <w:vertAlign w:val="superscript"/>
              </w:rPr>
              <w:t>(1)</w:t>
            </w: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2,960</w:t>
            </w:r>
          </w:p>
        </w:tc>
        <w:tc>
          <w:tcPr>
            <w:tcW w:w="20" w:type="dxa"/>
            <w:vAlign w:val="bottom"/>
          </w:tcPr>
          <w:p>
            <w:pPr>
              <w:spacing w:after="0"/>
              <w:rPr>
                <w:sz w:val="15"/>
                <w:szCs w:val="15"/>
                <w:color w:val="auto"/>
              </w:rPr>
            </w:pP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Property, equipment and software, gross</w:t>
            </w: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65,459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58,966</w:t>
            </w:r>
          </w:p>
        </w:tc>
        <w:tc>
          <w:tcPr>
            <w:tcW w:w="20" w:type="dxa"/>
            <w:vAlign w:val="bottom"/>
          </w:tcPr>
          <w:p>
            <w:pPr>
              <w:spacing w:after="0"/>
              <w:rPr>
                <w:sz w:val="14"/>
                <w:szCs w:val="14"/>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(29,428)</w:t>
            </w:r>
          </w:p>
        </w:tc>
        <w:tc>
          <w:tcPr>
            <w:tcW w:w="20" w:type="dxa"/>
            <w:vAlign w:val="bottom"/>
          </w:tcPr>
          <w:p>
            <w:pPr>
              <w:spacing w:after="0"/>
              <w:rPr>
                <w:sz w:val="15"/>
                <w:szCs w:val="15"/>
                <w:color w:val="auto"/>
              </w:rPr>
            </w:pP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Property, equipment and software, net</w:t>
            </w: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8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29,538</w:t>
            </w:r>
          </w:p>
        </w:tc>
        <w:tc>
          <w:tcPr>
            <w:tcW w:w="20" w:type="dxa"/>
            <w:vAlign w:val="bottom"/>
          </w:tcPr>
          <w:p>
            <w:pPr>
              <w:spacing w:after="0"/>
              <w:rPr>
                <w:sz w:val="14"/>
                <w:szCs w:val="14"/>
                <w:color w:val="auto"/>
              </w:rPr>
            </w:pPr>
          </w:p>
        </w:tc>
      </w:tr>
      <w:tr>
        <w:trPr>
          <w:trHeight w:val="20"/>
        </w:trPr>
        <w:tc>
          <w:tcPr>
            <w:tcW w:w="6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7164705</wp:posOffset>
            </wp:positionH>
            <wp:positionV relativeFrom="paragraph">
              <wp:posOffset>-1070610</wp:posOffset>
            </wp:positionV>
            <wp:extent cx="6985" cy="114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985" cy="114300"/>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-1070610</wp:posOffset>
            </wp:positionV>
            <wp:extent cx="6985" cy="114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985" cy="11430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1"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Construction in progress consists of leasehold improvements and capitalized software development costs that have not been placed into service.</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52" w:lineRule="exact"/>
        <w:rPr>
          <w:rFonts w:ascii="Arial" w:cs="Arial" w:eastAsia="Arial" w:hAnsi="Arial"/>
          <w:sz w:val="13"/>
          <w:szCs w:val="13"/>
          <w:color w:val="auto"/>
        </w:rPr>
      </w:pPr>
    </w:p>
    <w:p>
      <w:pPr>
        <w:ind w:left="5520"/>
        <w:spacing w:after="0"/>
        <w:rPr>
          <w:rFonts w:ascii="Arial" w:cs="Arial" w:eastAsia="Arial" w:hAnsi="Arial"/>
          <w:sz w:val="13"/>
          <w:szCs w:val="13"/>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years ended January 31, 2026, 2025, and 2024, depreciation and amortization expense related to property, equipment and software was $18.9 million, $19.7 million, and $20.5 million, respectively. Included in these amounts was amortization expense for capitalized internal-use software costs of approximately $14.9 million, $14.9 million and $13.8 million, for the years ended January 31, 2026, 2025 and 2024.</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 impairment losses of long-lived assets, including property, equipment and software, and operating lease right-of-use (“ROU”) assets, were recognized during the years ended January 31, 2026, 2025, and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 Net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presents long-lived assets, which includes property, equipment and software, net of depreciation and amortization, and operating lease ROU assets, by geographic region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r>
      <w:tr>
        <w:trPr>
          <w:trHeight w:val="150"/>
        </w:trPr>
        <w:tc>
          <w:tcPr>
            <w:tcW w:w="77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2025</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59,470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59,181</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9,151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10,633</w:t>
            </w:r>
          </w:p>
        </w:tc>
      </w:tr>
      <w:tr>
        <w:trPr>
          <w:trHeight w:val="180"/>
        </w:trPr>
        <w:tc>
          <w:tcPr>
            <w:tcW w:w="77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All other countries</w:t>
            </w:r>
            <w:r>
              <w:rPr>
                <w:rFonts w:ascii="Arial" w:cs="Arial" w:eastAsia="Arial" w:hAnsi="Arial"/>
                <w:sz w:val="18"/>
                <w:szCs w:val="18"/>
                <w:color w:val="auto"/>
                <w:vertAlign w:val="superscript"/>
              </w:rPr>
              <w:t>(1)</w:t>
            </w: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9,837</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7,730</w:t>
            </w:r>
          </w:p>
        </w:tc>
      </w:tr>
      <w:tr>
        <w:trPr>
          <w:trHeight w:val="171"/>
        </w:trPr>
        <w:tc>
          <w:tcPr>
            <w:tcW w:w="7780" w:type="dxa"/>
            <w:vAlign w:val="bottom"/>
          </w:tcPr>
          <w:p>
            <w:pPr>
              <w:ind w:left="180"/>
              <w:spacing w:after="0"/>
              <w:rPr>
                <w:sz w:val="20"/>
                <w:szCs w:val="20"/>
                <w:color w:val="auto"/>
              </w:rPr>
            </w:pPr>
            <w:r>
              <w:rPr>
                <w:rFonts w:ascii="Arial" w:cs="Arial" w:eastAsia="Arial" w:hAnsi="Arial"/>
                <w:sz w:val="14"/>
                <w:szCs w:val="14"/>
                <w:color w:val="auto"/>
              </w:rPr>
              <w:t>Total long-lived assets, net</w:t>
            </w:r>
          </w:p>
        </w:tc>
        <w:tc>
          <w:tcPr>
            <w:tcW w:w="108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78,458</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77,544</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  No individual country within All other countries comprises more than 10% of Total long-lived assets, net.</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Prepaid Expenses and Other Current 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current assets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1080" w:type="dxa"/>
            <w:vAlign w:val="bottom"/>
            <w:tcBorders>
              <w:bottom w:val="single" w:sz="8" w:color="242424"/>
            </w:tcBorders>
          </w:tcPr>
          <w:p>
            <w:pPr>
              <w:spacing w:after="0"/>
              <w:rPr>
                <w:sz w:val="13"/>
                <w:szCs w:val="13"/>
                <w:color w:val="auto"/>
              </w:rPr>
            </w:pPr>
          </w:p>
        </w:tc>
        <w:tc>
          <w:tcPr>
            <w:tcW w:w="1260" w:type="dxa"/>
            <w:vAlign w:val="bottom"/>
            <w:tcBorders>
              <w:bottom w:val="single" w:sz="8" w:color="242424"/>
            </w:tcBorders>
            <w:gridSpan w:val="3"/>
          </w:tcPr>
          <w:p>
            <w:pPr>
              <w:jc w:val="right"/>
              <w:ind w:right="8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242424"/>
            </w:tcBorders>
          </w:tcPr>
          <w:p>
            <w:pPr>
              <w:spacing w:after="0"/>
              <w:rPr>
                <w:sz w:val="13"/>
                <w:szCs w:val="13"/>
                <w:color w:val="auto"/>
              </w:rPr>
            </w:pPr>
          </w:p>
        </w:tc>
      </w:tr>
      <w:tr>
        <w:trPr>
          <w:trHeight w:val="150"/>
        </w:trPr>
        <w:tc>
          <w:tcPr>
            <w:tcW w:w="77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2025</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r>
      <w:tr>
        <w:trPr>
          <w:trHeight w:val="180"/>
        </w:trPr>
        <w:tc>
          <w:tcPr>
            <w:tcW w:w="7780" w:type="dxa"/>
            <w:vAlign w:val="bottom"/>
          </w:tcPr>
          <w:p>
            <w:pPr>
              <w:ind w:left="20"/>
              <w:spacing w:after="0" w:line="181" w:lineRule="exact"/>
              <w:rPr>
                <w:sz w:val="20"/>
                <w:szCs w:val="20"/>
                <w:color w:val="auto"/>
              </w:rPr>
            </w:pPr>
            <w:r>
              <w:rPr>
                <w:rFonts w:ascii="Arial" w:cs="Arial" w:eastAsia="Arial" w:hAnsi="Arial"/>
                <w:sz w:val="14"/>
                <w:szCs w:val="14"/>
                <w:color w:val="auto"/>
              </w:rPr>
              <w:t>Payment processor advances</w:t>
            </w:r>
            <w:r>
              <w:rPr>
                <w:rFonts w:ascii="Arial" w:cs="Arial" w:eastAsia="Arial" w:hAnsi="Arial"/>
                <w:sz w:val="18"/>
                <w:szCs w:val="18"/>
                <w:color w:val="auto"/>
                <w:vertAlign w:val="superscript"/>
              </w:rPr>
              <w:t>(1)</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6,801</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16,864</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8,666</w:t>
            </w:r>
          </w:p>
        </w:tc>
      </w:tr>
      <w:tr>
        <w:trPr>
          <w:trHeight w:val="19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prepaid expenses and other current assets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35,628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  Payment processor advances represent amounts prefunded to and held by payment processors in order to fund future customer spend</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Expenses and Other Current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 and other current liabilities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1040" w:type="dxa"/>
            <w:vAlign w:val="bottom"/>
            <w:tcBorders>
              <w:bottom w:val="single" w:sz="8" w:color="242424"/>
            </w:tcBorders>
          </w:tcPr>
          <w:p>
            <w:pPr>
              <w:spacing w:after="0"/>
              <w:rPr>
                <w:sz w:val="13"/>
                <w:szCs w:val="13"/>
                <w:color w:val="auto"/>
              </w:rPr>
            </w:pPr>
          </w:p>
        </w:tc>
        <w:tc>
          <w:tcPr>
            <w:tcW w:w="1300" w:type="dxa"/>
            <w:vAlign w:val="bottom"/>
            <w:tcBorders>
              <w:bottom w:val="single" w:sz="8" w:color="242424"/>
            </w:tcBorders>
            <w:gridSpan w:val="3"/>
          </w:tcPr>
          <w:p>
            <w:pPr>
              <w:jc w:val="right"/>
              <w:ind w:right="8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242424"/>
            </w:tcBorders>
          </w:tcPr>
          <w:p>
            <w:pPr>
              <w:spacing w:after="0"/>
              <w:rPr>
                <w:sz w:val="13"/>
                <w:szCs w:val="13"/>
                <w:color w:val="auto"/>
              </w:rPr>
            </w:pPr>
          </w:p>
        </w:tc>
      </w:tr>
      <w:tr>
        <w:trPr>
          <w:trHeight w:val="150"/>
        </w:trPr>
        <w:tc>
          <w:tcPr>
            <w:tcW w:w="77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1"/>
                <w:szCs w:val="11"/>
                <w:b w:val="1"/>
                <w:bCs w:val="1"/>
                <w:color w:val="auto"/>
              </w:rPr>
              <w:t>2025</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 and employee benefits</w:t>
            </w: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28,970</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Employee contributions under employee stock purchase plan</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34,963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27,354</w:t>
            </w:r>
          </w:p>
        </w:tc>
      </w:tr>
      <w:tr>
        <w:trPr>
          <w:trHeight w:val="180"/>
        </w:trPr>
        <w:tc>
          <w:tcPr>
            <w:tcW w:w="7780" w:type="dxa"/>
            <w:vAlign w:val="bottom"/>
          </w:tcPr>
          <w:p>
            <w:pPr>
              <w:ind w:left="20"/>
              <w:spacing w:after="0" w:line="181" w:lineRule="exact"/>
              <w:rPr>
                <w:sz w:val="20"/>
                <w:szCs w:val="20"/>
                <w:color w:val="auto"/>
              </w:rPr>
            </w:pPr>
            <w:r>
              <w:rPr>
                <w:rFonts w:ascii="Arial" w:cs="Arial" w:eastAsia="Arial" w:hAnsi="Arial"/>
                <w:sz w:val="14"/>
                <w:szCs w:val="14"/>
                <w:color w:val="auto"/>
              </w:rPr>
              <w:t>Amounts due to travel supply partners</w:t>
            </w:r>
            <w:r>
              <w:rPr>
                <w:rFonts w:ascii="Arial" w:cs="Arial" w:eastAsia="Arial" w:hAnsi="Arial"/>
                <w:sz w:val="18"/>
                <w:szCs w:val="18"/>
                <w:color w:val="auto"/>
                <w:vertAlign w:val="superscript"/>
              </w:rPr>
              <w:t>(1)</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69,137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41,665</w:t>
            </w:r>
          </w:p>
        </w:tc>
      </w:tr>
      <w:tr>
        <w:trPr>
          <w:trHeight w:val="180"/>
        </w:trPr>
        <w:tc>
          <w:tcPr>
            <w:tcW w:w="77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Reward liability</w:t>
            </w:r>
            <w:r>
              <w:rPr>
                <w:rFonts w:ascii="Arial" w:cs="Arial" w:eastAsia="Arial" w:hAnsi="Arial"/>
                <w:sz w:val="18"/>
                <w:szCs w:val="18"/>
                <w:color w:val="auto"/>
                <w:vertAlign w:val="superscript"/>
              </w:rPr>
              <w:t>(2)</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11,408</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Customer deposits and collateral</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26,357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14,319</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tax payable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Indirect tax payable</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6,404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3,489</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exercise liability</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2,642</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71"/>
        </w:trPr>
        <w:tc>
          <w:tcPr>
            <w:tcW w:w="7780" w:type="dxa"/>
            <w:vAlign w:val="bottom"/>
          </w:tcPr>
          <w:p>
            <w:pPr>
              <w:ind w:left="180"/>
              <w:spacing w:after="0"/>
              <w:rPr>
                <w:sz w:val="20"/>
                <w:szCs w:val="20"/>
                <w:color w:val="auto"/>
              </w:rPr>
            </w:pPr>
            <w:r>
              <w:rPr>
                <w:rFonts w:ascii="Arial" w:cs="Arial" w:eastAsia="Arial" w:hAnsi="Arial"/>
                <w:sz w:val="14"/>
                <w:szCs w:val="14"/>
                <w:color w:val="auto"/>
              </w:rPr>
              <w:t>Total accrued expenses and other current liabilities</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197,253</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136,798</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1" w:lineRule="exact"/>
        <w:rPr>
          <w:sz w:val="20"/>
          <w:szCs w:val="20"/>
          <w:color w:val="auto"/>
        </w:rPr>
      </w:pPr>
    </w:p>
    <w:p>
      <w:pPr>
        <w:ind w:left="260" w:hanging="255"/>
        <w:spacing w:after="0" w:line="243" w:lineRule="auto"/>
        <w:tabs>
          <w:tab w:leader="none" w:pos="256"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balance represents the timing difference of when the Company charges customers for certain travel booking transactions, and when the balance is remitted to travel supply partners or needs to be refunded.</w:t>
      </w:r>
    </w:p>
    <w:p>
      <w:pPr>
        <w:spacing w:after="0" w:line="1" w:lineRule="exact"/>
        <w:rPr>
          <w:rFonts w:ascii="Arial" w:cs="Arial" w:eastAsia="Arial" w:hAnsi="Arial"/>
          <w:sz w:val="13"/>
          <w:szCs w:val="13"/>
          <w:color w:val="auto"/>
        </w:rPr>
      </w:pPr>
    </w:p>
    <w:p>
      <w:pPr>
        <w:ind w:left="260" w:hanging="255"/>
        <w:spacing w:after="0" w:line="253" w:lineRule="auto"/>
        <w:tabs>
          <w:tab w:leader="none" w:pos="256"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balance represents both (i) Navan-funded rewards, which includes the value of earned rewards we expect to be redeemed by users prior to expiration, and (ii) customer funded rewards, which are payments made by our platform customers to fund future redemptions by their employees.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Non-Current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liabilities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1080" w:type="dxa"/>
            <w:vAlign w:val="bottom"/>
            <w:tcBorders>
              <w:bottom w:val="single" w:sz="8" w:color="242424"/>
            </w:tcBorders>
          </w:tcPr>
          <w:p>
            <w:pPr>
              <w:spacing w:after="0"/>
              <w:rPr>
                <w:sz w:val="13"/>
                <w:szCs w:val="13"/>
                <w:color w:val="auto"/>
              </w:rPr>
            </w:pPr>
          </w:p>
        </w:tc>
        <w:tc>
          <w:tcPr>
            <w:tcW w:w="1260" w:type="dxa"/>
            <w:vAlign w:val="bottom"/>
            <w:tcBorders>
              <w:bottom w:val="single" w:sz="8" w:color="242424"/>
            </w:tcBorders>
            <w:gridSpan w:val="3"/>
          </w:tcPr>
          <w:p>
            <w:pPr>
              <w:jc w:val="right"/>
              <w:ind w:right="6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242424"/>
            </w:tcBorders>
          </w:tcPr>
          <w:p>
            <w:pPr>
              <w:spacing w:after="0"/>
              <w:rPr>
                <w:sz w:val="13"/>
                <w:szCs w:val="13"/>
                <w:color w:val="auto"/>
              </w:rPr>
            </w:pPr>
          </w:p>
        </w:tc>
      </w:tr>
      <w:tr>
        <w:trPr>
          <w:trHeight w:val="150"/>
        </w:trPr>
        <w:tc>
          <w:tcPr>
            <w:tcW w:w="78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2025</w:t>
            </w:r>
          </w:p>
        </w:tc>
      </w:tr>
      <w:tr>
        <w:trPr>
          <w:trHeight w:val="171"/>
        </w:trPr>
        <w:tc>
          <w:tcPr>
            <w:tcW w:w="784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Loss contingency reserves</w:t>
            </w:r>
            <w:r>
              <w:rPr>
                <w:rFonts w:ascii="Arial" w:cs="Arial" w:eastAsia="Arial" w:hAnsi="Arial"/>
                <w:sz w:val="18"/>
                <w:szCs w:val="18"/>
                <w:color w:val="auto"/>
                <w:vertAlign w:val="superscript"/>
              </w:rPr>
              <w:t>(1)</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8,120</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7,655</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payable for unrecognized tax benefits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Redeemable convertible preferred stock warrant liability</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180"/>
        </w:trPr>
        <w:tc>
          <w:tcPr>
            <w:tcW w:w="78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NOW Scheme contingency payable</w:t>
            </w:r>
            <w:r>
              <w:rPr>
                <w:rFonts w:ascii="Arial" w:cs="Arial" w:eastAsia="Arial" w:hAnsi="Arial"/>
                <w:sz w:val="18"/>
                <w:szCs w:val="18"/>
                <w:color w:val="auto"/>
                <w:vertAlign w:val="superscript"/>
              </w:rPr>
              <w:t>(2)</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w:t>
            </w:r>
          </w:p>
        </w:tc>
      </w:tr>
      <w:tr>
        <w:trPr>
          <w:trHeight w:val="18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other non-current liabilities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17,966</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8"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Loss contingency reserves consist of accruals related primarily to employment taxes.</w:t>
      </w:r>
    </w:p>
    <w:p>
      <w:pPr>
        <w:spacing w:after="0" w:line="9" w:lineRule="exact"/>
        <w:rPr>
          <w:rFonts w:ascii="Arial" w:cs="Arial" w:eastAsia="Arial" w:hAnsi="Arial"/>
          <w:sz w:val="13"/>
          <w:szCs w:val="13"/>
          <w:color w:val="auto"/>
        </w:rPr>
      </w:pPr>
    </w:p>
    <w:p>
      <w:pPr>
        <w:ind w:left="260" w:hanging="255"/>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Refer to Note 13 </w:t>
      </w:r>
      <w:r>
        <w:rPr>
          <w:rFonts w:ascii="Arial" w:cs="Arial" w:eastAsia="Arial" w:hAnsi="Arial"/>
          <w:sz w:val="14"/>
          <w:szCs w:val="14"/>
          <w:color w:val="auto"/>
        </w:rPr>
        <w:t>—</w:t>
      </w:r>
      <w:r>
        <w:rPr>
          <w:rFonts w:ascii="Arial" w:cs="Arial" w:eastAsia="Arial" w:hAnsi="Arial"/>
          <w:sz w:val="13"/>
          <w:szCs w:val="13"/>
          <w:color w:val="auto"/>
        </w:rPr>
        <w:t xml:space="preserve"> Commitments and Contingencies for further information on the NOW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income (expense), net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60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gains (losses), net</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5,618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4,519</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 issuance costs expensed</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6,363</w:t>
            </w:r>
          </w:p>
        </w:tc>
      </w:tr>
      <w:tr>
        <w:trPr>
          <w:trHeight w:val="196"/>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LEASES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operating leases primarily include leases for office space in various locations around the world under non-cancellable operating lease arrangements that expire at various dates through fiscal year 2033. Certain leases contain escalation clauses and renewal options. Generally, our leases have no purchase options, residual value guarantees or material covenants. Our leases require us to pay certain operating expenses, such as taxes, repairs and insurance.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components of lease cost include fixed payments on our operating leases, fixed payments on our short-term leases and variable lease payments. Variable lease payments consist of common area maintenance, utilities reimbursed to the landlord, taxes and other costs and are expensed as incurred. The components of lease cost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costs</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15,393</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Short-term lease costs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costs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r>
        <w:trPr>
          <w:trHeight w:val="171"/>
        </w:trPr>
        <w:tc>
          <w:tcPr>
            <w:tcW w:w="6400" w:type="dxa"/>
            <w:vAlign w:val="bottom"/>
          </w:tcPr>
          <w:p>
            <w:pPr>
              <w:ind w:left="220"/>
              <w:spacing w:after="0"/>
              <w:rPr>
                <w:sz w:val="20"/>
                <w:szCs w:val="20"/>
                <w:color w:val="auto"/>
              </w:rPr>
            </w:pPr>
            <w:r>
              <w:rPr>
                <w:rFonts w:ascii="Arial" w:cs="Arial" w:eastAsia="Arial" w:hAnsi="Arial"/>
                <w:sz w:val="14"/>
                <w:szCs w:val="14"/>
                <w:color w:val="auto"/>
              </w:rPr>
              <w:t>Total lease costs</w:t>
            </w:r>
          </w:p>
        </w:tc>
        <w:tc>
          <w:tcPr>
            <w:tcW w:w="10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20,420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Supplemental cash flow information related to leases was as follows (in thousands):</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15,518</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Operating lease right-of-use assets obtained in exchange for lease obligations</w:t>
            </w:r>
          </w:p>
        </w:tc>
        <w:tc>
          <w:tcPr>
            <w:tcW w:w="1000" w:type="dxa"/>
            <w:vAlign w:val="bottom"/>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5,560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9,773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22,507</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of lease liabilities due to lease modifications</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Increase (decrease) of right-of-use assets due to lease modifications</w:t>
            </w:r>
          </w:p>
        </w:tc>
        <w:tc>
          <w:tcPr>
            <w:tcW w:w="1000" w:type="dxa"/>
            <w:vAlign w:val="bottom"/>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3,032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Termination of operating lease liabilities</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6"/>
        </w:trPr>
        <w:tc>
          <w:tcPr>
            <w:tcW w:w="6400" w:type="dxa"/>
            <w:vAlign w:val="bottom"/>
          </w:tcPr>
          <w:p>
            <w:pPr>
              <w:ind w:left="20"/>
              <w:spacing w:after="0"/>
              <w:rPr>
                <w:sz w:val="20"/>
                <w:szCs w:val="20"/>
                <w:color w:val="auto"/>
              </w:rPr>
            </w:pPr>
            <w:r>
              <w:rPr>
                <w:rFonts w:ascii="Arial" w:cs="Arial" w:eastAsia="Arial" w:hAnsi="Arial"/>
                <w:sz w:val="14"/>
                <w:szCs w:val="14"/>
                <w:color w:val="auto"/>
              </w:rPr>
              <w:t>Termination of operating lease right-of-use assets</w:t>
            </w:r>
          </w:p>
        </w:tc>
        <w:tc>
          <w:tcPr>
            <w:tcW w:w="1000" w:type="dxa"/>
            <w:vAlign w:val="bottom"/>
          </w:tcPr>
          <w:p>
            <w:pPr>
              <w:jc w:val="right"/>
              <w:ind w:right="83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January 31, 2024, we agreed to an early termination of our office lease in Dallas, Texas and paid an aggregate of $5.5 million in early termination fees. The early termination is treated as a lease modification in the supplemental cash flow information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information related to leases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1"/>
                <w:szCs w:val="11"/>
                <w:b w:val="1"/>
                <w:bCs w:val="1"/>
                <w:color w:val="auto"/>
              </w:rPr>
              <w:t>As of January 31,</w:t>
            </w:r>
          </w:p>
        </w:tc>
        <w:tc>
          <w:tcPr>
            <w:tcW w:w="1120" w:type="dxa"/>
            <w:vAlign w:val="bottom"/>
            <w:tcBorders>
              <w:bottom w:val="single" w:sz="8" w:color="auto"/>
            </w:tcBorders>
          </w:tcPr>
          <w:p>
            <w:pPr>
              <w:spacing w:after="0"/>
              <w:rPr>
                <w:sz w:val="13"/>
                <w:szCs w:val="13"/>
                <w:color w:val="auto"/>
              </w:rPr>
            </w:pPr>
          </w:p>
        </w:tc>
      </w:tr>
      <w:tr>
        <w:trPr>
          <w:trHeight w:val="150"/>
        </w:trPr>
        <w:tc>
          <w:tcPr>
            <w:tcW w:w="8880" w:type="dxa"/>
            <w:vAlign w:val="bottom"/>
            <w:gridSpan w:val="2"/>
          </w:tcPr>
          <w:p>
            <w:pPr>
              <w:ind w:left="8560"/>
              <w:spacing w:after="0"/>
              <w:rPr>
                <w:sz w:val="20"/>
                <w:szCs w:val="20"/>
                <w:color w:val="auto"/>
              </w:rPr>
            </w:pPr>
            <w:r>
              <w:rPr>
                <w:rFonts w:ascii="Arial" w:cs="Arial" w:eastAsia="Arial" w:hAnsi="Arial"/>
                <w:sz w:val="11"/>
                <w:szCs w:val="11"/>
                <w:b w:val="1"/>
                <w:bCs w:val="1"/>
                <w:color w:val="auto"/>
              </w:rPr>
              <w:t>2026</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ind w:right="631"/>
              <w:spacing w:after="0"/>
              <w:rPr>
                <w:sz w:val="20"/>
                <w:szCs w:val="20"/>
                <w:color w:val="auto"/>
              </w:rPr>
            </w:pPr>
            <w:r>
              <w:rPr>
                <w:rFonts w:ascii="Arial" w:cs="Arial" w:eastAsia="Arial" w:hAnsi="Arial"/>
                <w:sz w:val="11"/>
                <w:szCs w:val="11"/>
                <w:b w:val="1"/>
                <w:bCs w:val="1"/>
                <w:color w:val="auto"/>
              </w:rPr>
              <w:t>2025</w:t>
            </w:r>
          </w:p>
        </w:tc>
      </w:tr>
      <w:tr>
        <w:trPr>
          <w:trHeight w:val="17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for operating leases</w:t>
            </w:r>
          </w:p>
        </w:tc>
        <w:tc>
          <w:tcPr>
            <w:tcW w:w="10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years</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 years</w:t>
            </w:r>
          </w:p>
        </w:tc>
      </w:t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640" w:type="dxa"/>
            <w:vAlign w:val="bottom"/>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11.1 %</w:t>
            </w:r>
          </w:p>
        </w:tc>
      </w:tr>
      <w:tr>
        <w:trPr>
          <w:trHeight w:val="367"/>
        </w:trPr>
        <w:tc>
          <w:tcPr>
            <w:tcW w:w="8880" w:type="dxa"/>
            <w:vAlign w:val="bottom"/>
            <w:gridSpan w:val="2"/>
          </w:tcPr>
          <w:p>
            <w:pPr>
              <w:spacing w:after="0"/>
              <w:rPr>
                <w:sz w:val="20"/>
                <w:szCs w:val="20"/>
                <w:color w:val="auto"/>
              </w:rPr>
            </w:pPr>
            <w:r>
              <w:rPr>
                <w:rFonts w:ascii="Arial" w:cs="Arial" w:eastAsia="Arial" w:hAnsi="Arial"/>
                <w:sz w:val="14"/>
                <w:szCs w:val="14"/>
                <w:color w:val="auto"/>
              </w:rPr>
              <w:t>Maturities of lease liabilities as of January 31, 2026 were as follows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88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Amount</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0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16,467</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2028</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15,048</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9,934</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2030</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7,831</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2031</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r>
      <w:tr>
        <w:trPr>
          <w:trHeight w:val="180"/>
        </w:trPr>
        <w:tc>
          <w:tcPr>
            <w:tcW w:w="8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6,076</w:t>
            </w:r>
          </w:p>
        </w:tc>
      </w:tr>
      <w:tr>
        <w:trPr>
          <w:trHeight w:val="171"/>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62,662</w:t>
            </w:r>
          </w:p>
        </w:tc>
      </w:tr>
      <w:tr>
        <w:trPr>
          <w:trHeight w:val="180"/>
        </w:trPr>
        <w:tc>
          <w:tcPr>
            <w:tcW w:w="8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(13,102)</w:t>
            </w:r>
          </w:p>
        </w:tc>
      </w:tr>
      <w:tr>
        <w:trPr>
          <w:trHeight w:val="196"/>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74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49,560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BUSINESS COMBINATIONS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Shorebird Technologies Private Limited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May 17, 2023, we acquired all of the outstanding stock of Shorebird Technologies Private Limited (Tripeur), an Indian-based travel management company for an aggregate purchase price of $7.2 million paid in cash. The acquisition was accounted for as a business combination and is expected to increase our market share as a provider of travel, corporate card and expense management solutions in India. Acquisition costs related to the Tripeur acquisition were approximately $0.3 million and were expensed as incurred.</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purchase price was allocated to the following assets and liabilities: $6.3 million to goodwill, $0.5 million to intangible assets for acquired developed technology, $0.8 million to current assets, $0.4 million to other assets and $0.8 million to current liabilities.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Goodwill was primarily attributed to the assembled workforce and expanded market opportunities from the Tripeur acquisition. None of the goodwill is deductible for U.S. federal income tax purposes. The acquired developed technology has an estimated useful life of two years.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financial results of Tripeur are included in our consolidated financial statements from the date of acquisition. Tripeur’s financial results have not been material to date. Pro forma results of operations have not been presented because the effect of the acquisition was not material to the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Regent International S.R.L</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June 4, 2024, the Company acquired all outstanding stock of Regent International S.R.L. (“Regent”), a travel and event management company based in Rome, Italy for an aggregate purchase price of $7.9 million in cash. Of the aggregate purchase price, $6.6 million was paid at closing and the remaining $1.3 million was deferred. No deferred payments remain outstanding as of January 31, 2026.</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transaction is expected to increase the Company’s market share as a provider of travel, corporate card and expense management solutions in Italy and has been accounted for as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combination. Acquisition costs related to the Regent acquisition were approximately $0.3 million and were expensed as incurred.</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Goodwill was primarily attributed to the assembled workforce and expanded market opportunities from the Regent acquisition. Of the goodwill from the Regent acquisition, $2.9 million is deductible for U.S. federal income tax purposes. The acquired customer relationships have an estimated useful life of eight years.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financial results of Regent are included in our consolidated financial statements from the date of acquisition. The financial results and pro forma results of Regent from the date of acquisition are not material and are not separately presented.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GOODWILL AND OTHER INTANGIBLE ASSETS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value of goodwill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Carrying Amount</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2024</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220,541</w:t>
            </w:r>
          </w:p>
        </w:tc>
        <w:tc>
          <w:tcPr>
            <w:tcW w:w="0" w:type="dxa"/>
            <w:vAlign w:val="bottom"/>
          </w:tcPr>
          <w:p>
            <w:pPr>
              <w:spacing w:after="0"/>
              <w:rPr>
                <w:sz w:val="1"/>
                <w:szCs w:val="1"/>
                <w:color w:val="auto"/>
              </w:rPr>
            </w:pPr>
          </w:p>
        </w:tc>
      </w:tr>
      <w:tr>
        <w:trPr>
          <w:trHeight w:val="180"/>
        </w:trPr>
        <w:tc>
          <w:tcPr>
            <w:tcW w:w="4680" w:type="dxa"/>
            <w:vAlign w:val="bottom"/>
          </w:tcPr>
          <w:p>
            <w:pPr>
              <w:ind w:left="180"/>
              <w:spacing w:after="0"/>
              <w:rPr>
                <w:sz w:val="20"/>
                <w:szCs w:val="20"/>
                <w:color w:val="auto"/>
              </w:rPr>
            </w:pPr>
            <w:r>
              <w:rPr>
                <w:rFonts w:ascii="Arial" w:cs="Arial" w:eastAsia="Arial" w:hAnsi="Arial"/>
                <w:sz w:val="14"/>
                <w:szCs w:val="14"/>
                <w:color w:val="auto"/>
              </w:rPr>
              <w:t>Goodwill arising from acquisitions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impact</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Arial" w:cs="Arial" w:eastAsia="Arial" w:hAnsi="Arial"/>
                <w:sz w:val="14"/>
                <w:szCs w:val="14"/>
                <w:color w:val="auto"/>
              </w:rPr>
              <w:t>Balance as of January 31, 2025</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219,728</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impact</w:t>
            </w: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21,581</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Arial" w:cs="Arial" w:eastAsia="Arial" w:hAnsi="Arial"/>
                <w:sz w:val="14"/>
                <w:szCs w:val="14"/>
                <w:color w:val="auto"/>
              </w:rPr>
              <w:t>Balance as of January 31, 2026</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241,309</w:t>
            </w:r>
          </w:p>
        </w:tc>
        <w:tc>
          <w:tcPr>
            <w:tcW w:w="0" w:type="dxa"/>
            <w:vAlign w:val="bottom"/>
          </w:tcPr>
          <w:p>
            <w:pPr>
              <w:spacing w:after="0"/>
              <w:rPr>
                <w:sz w:val="1"/>
                <w:szCs w:val="1"/>
                <w:color w:val="auto"/>
              </w:rPr>
            </w:pPr>
          </w:p>
        </w:tc>
      </w:tr>
      <w:tr>
        <w:trPr>
          <w:trHeight w:val="20"/>
        </w:trPr>
        <w:tc>
          <w:tcPr>
            <w:tcW w:w="7980" w:type="dxa"/>
            <w:vAlign w:val="bottom"/>
            <w:gridSpan w:val="5"/>
            <w:vMerge w:val="restart"/>
          </w:tcPr>
          <w:p>
            <w:pPr>
              <w:spacing w:after="0"/>
              <w:rPr>
                <w:sz w:val="20"/>
                <w:szCs w:val="20"/>
                <w:color w:val="auto"/>
              </w:rPr>
            </w:pPr>
            <w:r>
              <w:rPr>
                <w:rFonts w:ascii="Arial" w:cs="Arial" w:eastAsia="Arial" w:hAnsi="Arial"/>
                <w:sz w:val="14"/>
                <w:szCs w:val="14"/>
                <w:color w:val="auto"/>
              </w:rPr>
              <w:t>There were no impairments of goodwill recognized during the years ended January 31, 2026, 2025 and 2024, respectively.</w:t>
            </w: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980" w:type="dxa"/>
            <w:vAlign w:val="bottom"/>
            <w:gridSpan w:val="5"/>
            <w:vMerge w:val="continue"/>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Intangible Assets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20" w:type="dxa"/>
            <w:vAlign w:val="bottom"/>
            <w:gridSpan w:val="2"/>
          </w:tcPr>
          <w:p>
            <w:pPr>
              <w:spacing w:after="0"/>
              <w:rPr>
                <w:sz w:val="20"/>
                <w:szCs w:val="20"/>
                <w:color w:val="auto"/>
              </w:rPr>
            </w:pPr>
            <w:r>
              <w:rPr>
                <w:rFonts w:ascii="Arial" w:cs="Arial" w:eastAsia="Arial" w:hAnsi="Arial"/>
                <w:sz w:val="14"/>
                <w:szCs w:val="14"/>
                <w:color w:val="auto"/>
              </w:rPr>
              <w:t>Intangible assets consisted of the following (in thousands, except years data):</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68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As of January 31, 2026</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1640" w:type="dxa"/>
            <w:vAlign w:val="bottom"/>
          </w:tcPr>
          <w:p>
            <w:pPr>
              <w:jc w:val="center"/>
              <w:ind w:right="16"/>
              <w:spacing w:after="0" w:line="108" w:lineRule="exact"/>
              <w:rPr>
                <w:sz w:val="20"/>
                <w:szCs w:val="20"/>
                <w:color w:val="auto"/>
              </w:rPr>
            </w:pPr>
            <w:r>
              <w:rPr>
                <w:rFonts w:ascii="Arial" w:cs="Arial" w:eastAsia="Arial" w:hAnsi="Arial"/>
                <w:sz w:val="11"/>
                <w:szCs w:val="11"/>
                <w:b w:val="1"/>
                <w:bCs w:val="1"/>
                <w:color w:val="auto"/>
              </w:rPr>
              <w:t>Weighted-Average</w:t>
            </w:r>
          </w:p>
        </w:tc>
        <w:tc>
          <w:tcPr>
            <w:tcW w:w="120" w:type="dxa"/>
            <w:vAlign w:val="bottom"/>
          </w:tcPr>
          <w:p>
            <w:pPr>
              <w:spacing w:after="0"/>
              <w:rPr>
                <w:sz w:val="9"/>
                <w:szCs w:val="9"/>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Gross Carrying Amount</w:t>
            </w:r>
          </w:p>
        </w:tc>
        <w:tc>
          <w:tcPr>
            <w:tcW w:w="1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Accumulated Amortization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1"/>
                <w:szCs w:val="11"/>
                <w:b w:val="1"/>
                <w:bCs w:val="1"/>
                <w:color w:val="auto"/>
              </w:rPr>
              <w:t>Net Amount</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40" w:type="dxa"/>
            <w:vAlign w:val="bottom"/>
          </w:tcPr>
          <w:p>
            <w:pPr>
              <w:jc w:val="center"/>
              <w:ind w:right="36"/>
              <w:spacing w:after="0"/>
              <w:rPr>
                <w:sz w:val="20"/>
                <w:szCs w:val="20"/>
                <w:color w:val="auto"/>
              </w:rPr>
            </w:pPr>
            <w:r>
              <w:rPr>
                <w:rFonts w:ascii="Arial" w:cs="Arial" w:eastAsia="Arial" w:hAnsi="Arial"/>
                <w:sz w:val="11"/>
                <w:szCs w:val="11"/>
                <w:b w:val="1"/>
                <w:bCs w:val="1"/>
                <w:color w:val="auto"/>
              </w:rPr>
              <w:t>Remaining Life (Years)</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40" w:type="dxa"/>
            <w:vAlign w:val="bottom"/>
            <w:shd w:val="clear" w:color="auto" w:fill="CCEEFF"/>
          </w:tcPr>
          <w:p>
            <w:pPr>
              <w:jc w:val="right"/>
              <w:ind w:right="69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Domain names</w:t>
            </w:r>
          </w:p>
        </w:tc>
        <w:tc>
          <w:tcPr>
            <w:tcW w:w="1640" w:type="dxa"/>
            <w:vAlign w:val="bottom"/>
            <w:tcBorders>
              <w:bottom w:val="single" w:sz="8" w:color="CCEEFF"/>
            </w:tcBorders>
          </w:tcPr>
          <w:p>
            <w:pPr>
              <w:jc w:val="right"/>
              <w:ind w:right="656"/>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intangible assets</w:t>
            </w:r>
          </w:p>
        </w:tc>
        <w:tc>
          <w:tcPr>
            <w:tcW w:w="1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30,565</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1"/>
                <w:szCs w:val="11"/>
                <w:b w:val="1"/>
                <w:bCs w:val="1"/>
                <w:color w:val="auto"/>
              </w:rPr>
              <w:t>As of January 31, 2025</w:t>
            </w: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800" w:type="dxa"/>
            <w:vAlign w:val="bottom"/>
          </w:tcPr>
          <w:p>
            <w:pPr>
              <w:spacing w:after="0"/>
              <w:rPr>
                <w:sz w:val="9"/>
                <w:szCs w:val="9"/>
                <w:color w:val="auto"/>
              </w:rPr>
            </w:pPr>
          </w:p>
        </w:tc>
        <w:tc>
          <w:tcPr>
            <w:tcW w:w="166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Weighted-Average</w:t>
            </w:r>
          </w:p>
        </w:tc>
        <w:tc>
          <w:tcPr>
            <w:tcW w:w="120" w:type="dxa"/>
            <w:vAlign w:val="bottom"/>
          </w:tcPr>
          <w:p>
            <w:pPr>
              <w:spacing w:after="0"/>
              <w:rPr>
                <w:sz w:val="9"/>
                <w:szCs w:val="9"/>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Gross Carrying Amount</w:t>
            </w:r>
          </w:p>
        </w:tc>
        <w:tc>
          <w:tcPr>
            <w:tcW w:w="16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1"/>
                <w:szCs w:val="11"/>
                <w:b w:val="1"/>
                <w:bCs w:val="1"/>
                <w:color w:val="auto"/>
              </w:rPr>
              <w:t>Net Amount</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Remaining Life (Years)</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15.2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34,978</w:t>
            </w: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580" w:type="dxa"/>
            <w:vAlign w:val="bottom"/>
          </w:tcPr>
          <w:p>
            <w:pPr>
              <w:jc w:val="center"/>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27,989</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20,068</w:t>
            </w: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Domain names</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intangible assets</w:t>
            </w: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72,662</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55,633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years ended January 31, 2026, 2025, and 2024, amortization expense related to intangible assets of $41.3 million, $5.0 million, and $4.8 million, respectively, was recorded in sales and marketing expense, and $0.1 million, $0.3 million, and $1.5 million, respectively was recorded in cost of revenue within the consolidated statements of operations.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 ended January 31, 2026, we announced the retirement of the R&amp;M brand for the purposes of conducting new corporate travel sales. As a result, we fully accelerated the recognition of amortization expense related to the R&amp;M trade name intangible asset, and recognized $36.2 million of amortization expense recorded in sales and marketing expense during the year ended January 31, 2026.</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expected future amortization expenses related to intangible assets as of January 31, 2026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Pr>
          <w:p>
            <w:pPr>
              <w:spacing w:after="0"/>
              <w:rPr>
                <w:sz w:val="13"/>
                <w:szCs w:val="13"/>
                <w:color w:val="auto"/>
              </w:rPr>
            </w:pPr>
          </w:p>
        </w:tc>
        <w:tc>
          <w:tcPr>
            <w:tcW w:w="1320" w:type="dxa"/>
            <w:vAlign w:val="bottom"/>
          </w:tcPr>
          <w:p>
            <w:pPr>
              <w:jc w:val="right"/>
              <w:ind w:right="551"/>
              <w:spacing w:after="0"/>
              <w:rPr>
                <w:sz w:val="20"/>
                <w:szCs w:val="20"/>
                <w:color w:val="auto"/>
              </w:rPr>
            </w:pPr>
            <w:r>
              <w:rPr>
                <w:rFonts w:ascii="Arial" w:cs="Arial" w:eastAsia="Arial" w:hAnsi="Arial"/>
                <w:sz w:val="11"/>
                <w:szCs w:val="11"/>
                <w:b w:val="1"/>
                <w:bCs w:val="1"/>
                <w:color w:val="auto"/>
              </w:rPr>
              <w:t>Amount</w:t>
            </w:r>
          </w:p>
        </w:tc>
      </w:tr>
      <w:tr>
        <w:trPr>
          <w:trHeight w:val="171"/>
        </w:trPr>
        <w:tc>
          <w:tcPr>
            <w:tcW w:w="9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r>
      <w:tr>
        <w:trPr>
          <w:trHeight w:val="180"/>
        </w:trPr>
        <w:tc>
          <w:tcPr>
            <w:tcW w:w="9520" w:type="dxa"/>
            <w:vAlign w:val="bottom"/>
          </w:tcPr>
          <w:p>
            <w:pPr>
              <w:ind w:left="20"/>
              <w:spacing w:after="0"/>
              <w:rPr>
                <w:sz w:val="20"/>
                <w:szCs w:val="20"/>
                <w:color w:val="auto"/>
              </w:rPr>
            </w:pPr>
            <w:r>
              <w:rPr>
                <w:rFonts w:ascii="Arial" w:cs="Arial" w:eastAsia="Arial" w:hAnsi="Arial"/>
                <w:sz w:val="14"/>
                <w:szCs w:val="14"/>
                <w:color w:val="auto"/>
              </w:rPr>
              <w:t>2028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2,526</w:t>
            </w:r>
          </w:p>
        </w:tc>
      </w:tr>
      <w:tr>
        <w:trPr>
          <w:trHeight w:val="18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r>
      <w:tr>
        <w:trPr>
          <w:trHeight w:val="180"/>
        </w:trPr>
        <w:tc>
          <w:tcPr>
            <w:tcW w:w="9520" w:type="dxa"/>
            <w:vAlign w:val="bottom"/>
          </w:tcPr>
          <w:p>
            <w:pPr>
              <w:ind w:left="20"/>
              <w:spacing w:after="0"/>
              <w:rPr>
                <w:sz w:val="20"/>
                <w:szCs w:val="20"/>
                <w:color w:val="auto"/>
              </w:rPr>
            </w:pPr>
            <w:r>
              <w:rPr>
                <w:rFonts w:ascii="Arial" w:cs="Arial" w:eastAsia="Arial" w:hAnsi="Arial"/>
                <w:sz w:val="14"/>
                <w:szCs w:val="14"/>
                <w:color w:val="auto"/>
              </w:rPr>
              <w:t>2030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2,427</w:t>
            </w:r>
          </w:p>
        </w:tc>
      </w:tr>
      <w:tr>
        <w:trPr>
          <w:trHeight w:val="18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w:t>
            </w:r>
          </w:p>
        </w:tc>
      </w:tr>
      <w:tr>
        <w:trPr>
          <w:trHeight w:val="18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6,902</w:t>
            </w:r>
          </w:p>
        </w:tc>
      </w:tr>
      <w:tr>
        <w:trPr>
          <w:trHeight w:val="196"/>
        </w:trPr>
        <w:tc>
          <w:tcPr>
            <w:tcW w:w="9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19,274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impairments of intangible assets recognized during the years ended January 31, 2026,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DEBT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the following debt outstanding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1040" w:type="dxa"/>
            <w:vAlign w:val="bottom"/>
            <w:tcBorders>
              <w:bottom w:val="single" w:sz="8" w:color="242424"/>
            </w:tcBorders>
          </w:tcPr>
          <w:p>
            <w:pPr>
              <w:spacing w:after="0"/>
              <w:rPr>
                <w:sz w:val="13"/>
                <w:szCs w:val="13"/>
                <w:color w:val="auto"/>
              </w:rPr>
            </w:pPr>
          </w:p>
        </w:tc>
        <w:tc>
          <w:tcPr>
            <w:tcW w:w="1300" w:type="dxa"/>
            <w:vAlign w:val="bottom"/>
            <w:tcBorders>
              <w:bottom w:val="single" w:sz="8" w:color="242424"/>
            </w:tcBorders>
            <w:gridSpan w:val="3"/>
          </w:tcPr>
          <w:p>
            <w:pPr>
              <w:jc w:val="right"/>
              <w:ind w:right="8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242424"/>
            </w:tcBorders>
          </w:tcPr>
          <w:p>
            <w:pPr>
              <w:spacing w:after="0"/>
              <w:rPr>
                <w:sz w:val="13"/>
                <w:szCs w:val="13"/>
                <w:color w:val="auto"/>
              </w:rPr>
            </w:pPr>
          </w:p>
        </w:tc>
      </w:tr>
      <w:tr>
        <w:trPr>
          <w:trHeight w:val="150"/>
        </w:trPr>
        <w:tc>
          <w:tcPr>
            <w:tcW w:w="77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1"/>
                <w:szCs w:val="11"/>
                <w:b w:val="1"/>
                <w:bCs w:val="1"/>
                <w:color w:val="auto"/>
              </w:rPr>
              <w:t>2025</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118,174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214,238</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loan facility</w:t>
            </w:r>
          </w:p>
        </w:tc>
        <w:tc>
          <w:tcPr>
            <w:tcW w:w="10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ABL facility</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payable: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7780" w:type="dxa"/>
            <w:vAlign w:val="bottom"/>
          </w:tcPr>
          <w:p>
            <w:pPr>
              <w:ind w:left="180"/>
              <w:spacing w:after="0"/>
              <w:rPr>
                <w:sz w:val="20"/>
                <w:szCs w:val="20"/>
                <w:color w:val="auto"/>
              </w:rPr>
            </w:pPr>
            <w:r>
              <w:rPr>
                <w:rFonts w:ascii="Arial" w:cs="Arial" w:eastAsia="Arial" w:hAnsi="Arial"/>
                <w:sz w:val="14"/>
                <w:szCs w:val="14"/>
                <w:color w:val="auto"/>
              </w:rPr>
              <w:t>2022 promissory note</w:t>
            </w:r>
          </w:p>
        </w:tc>
        <w:tc>
          <w:tcPr>
            <w:tcW w:w="10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18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debt</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r>
      <w:tr>
        <w:trPr>
          <w:trHeight w:val="171"/>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notes payable</w:t>
            </w: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150,968</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principal amount of debt and borrowings</w:t>
            </w:r>
          </w:p>
        </w:tc>
        <w:tc>
          <w:tcPr>
            <w:tcW w:w="10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124,795</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535,206</w:t>
            </w:r>
          </w:p>
        </w:tc>
      </w:tr>
      <w:tr>
        <w:trPr>
          <w:trHeight w:val="171"/>
        </w:trPr>
        <w:tc>
          <w:tcPr>
            <w:tcW w:w="7780" w:type="dxa"/>
            <w:vAlign w:val="bottom"/>
          </w:tcPr>
          <w:p>
            <w:pPr>
              <w:ind w:left="180"/>
              <w:spacing w:after="0"/>
              <w:rPr>
                <w:sz w:val="20"/>
                <w:szCs w:val="20"/>
                <w:color w:val="auto"/>
              </w:rPr>
            </w:pPr>
            <w:r>
              <w:rPr>
                <w:rFonts w:ascii="Arial" w:cs="Arial" w:eastAsia="Arial" w:hAnsi="Arial"/>
                <w:sz w:val="14"/>
                <w:szCs w:val="14"/>
                <w:color w:val="auto"/>
              </w:rPr>
              <w:t>Less: unamortized debt discount and issuance costs</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(11,324)</w:t>
            </w:r>
          </w:p>
        </w:tc>
      </w:tr>
      <w:tr>
        <w:trPr>
          <w:trHeight w:val="18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accrued interest</w:t>
            </w:r>
          </w:p>
        </w:tc>
        <w:tc>
          <w:tcPr>
            <w:tcW w:w="10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94,056</w:t>
            </w:r>
          </w:p>
        </w:tc>
      </w:tr>
      <w:tr>
        <w:trPr>
          <w:trHeight w:val="171"/>
        </w:trPr>
        <w:tc>
          <w:tcPr>
            <w:tcW w:w="7780" w:type="dxa"/>
            <w:vAlign w:val="bottom"/>
          </w:tcPr>
          <w:p>
            <w:pPr>
              <w:ind w:left="20"/>
              <w:spacing w:after="0"/>
              <w:rPr>
                <w:sz w:val="20"/>
                <w:szCs w:val="20"/>
                <w:color w:val="auto"/>
              </w:rPr>
            </w:pPr>
            <w:r>
              <w:rPr>
                <w:rFonts w:ascii="Arial" w:cs="Arial" w:eastAsia="Arial" w:hAnsi="Arial"/>
                <w:sz w:val="14"/>
                <w:szCs w:val="14"/>
                <w:color w:val="auto"/>
              </w:rPr>
              <w:t>Net carrying value of debt and borrowings</w:t>
            </w:r>
          </w:p>
        </w:tc>
        <w:tc>
          <w:tcPr>
            <w:tcW w:w="104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124,795</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617,938</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Credit Facility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$ 200.0 million, consisting of a Class A facility and a Class B facility for $171.1 million and $28.9 million, respectively. The original terms also included a minimum utilization of 50% of the committed amount. Any unused portion of the Warehouse Credit Facility will bear interest at 0.5% per annum. The Warehouse Credit Facility was established to finance the Company’s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Warehouse Credit Facility has been amended multiple times over the term. During the year ended January 31, 2026, we executed amendments to extend the term of the Warehouse Credit Facility through February 18, 2028, and to reduce the minimum utilization to 40% of the committed amount. As of January 31, 2026, the borrowing capacity under the Warehouse Credit Facility is $250.0 million.</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At inception of the Warehouse Credit Facility, and as of January 31, 2026, the fair value of the embedded derivative liabilities was determined to be immaterial.</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incurred upfront commitment fees of $2.0 million for the Warehouse Credit Facility when the agreement was executed, an incremental $1.4 million upon the execution of various amendments in the year ended January 31, 2025, and an incremental $2.8 million upon the extension of the Warehouse Credit Facility during the year ended January 31, 2026. These upfront commitment fees were recorded as a deferred cost asset on the balance sheet and are amortized on a straight-line basis as incremental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years ended January 31, 2026 and 2025, we drew down an aggregate of $35.0 million, and $37.8 million, respectively and we repaid $131.1 million and $30.0 million, respectively, on the Warehouse Credit Facility.</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During the years ended January 31, 2026, 2025 and 2024, we recognized $15.6 million, $22.9 million, and $15.0 million, respectively, of interest expense, comprised of $14.3 million, $21.4 million, and $14.0 million, respectively, of interest paid and payable, and $1.3 million, $1.5 million, and $1.0 million respectively, for the amortization of debt issuance costs.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and 2025, we remain in compliance with the covenants of the loan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ABL Facility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2025, the Company executed an asset-based lending revolving line of credit (the “ABL Facility”) with Citibank, N.A. (“Citibank”), as agent for the lenders, which matures in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the Company had a total outstanding balance of $ 6.0 million on the ABL Facility. The ABL Facility contains certain affirmative or negative covenants including, among other things, restrictions on repurchases of stock, dividends, and other distributions. As of January 31, 2026, we were in compliance with all covenants.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January 31, 2026, we recognized $2.9 million of interest expense, comprised of $2.4 million of interest paid and payable, and $0.5 million for the amortization of debt issuance costs.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principal payments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Future payments of principal associated with other notes payable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0" w:type="dxa"/>
            <w:vAlign w:val="bottom"/>
            <w:gridSpan w:val="2"/>
          </w:tcPr>
          <w:p>
            <w:pPr>
              <w:ind w:left="20"/>
              <w:spacing w:after="0"/>
              <w:rPr>
                <w:sz w:val="20"/>
                <w:szCs w:val="20"/>
                <w:color w:val="auto"/>
              </w:rPr>
            </w:pPr>
            <w:r>
              <w:rPr>
                <w:rFonts w:ascii="Arial" w:cs="Arial" w:eastAsia="Arial" w:hAnsi="Arial"/>
                <w:sz w:val="11"/>
                <w:szCs w:val="11"/>
                <w:b w:val="1"/>
                <w:bCs w:val="1"/>
                <w:color w:val="auto"/>
              </w:rPr>
              <w:t>Fiscal Year</w:t>
            </w:r>
          </w:p>
        </w:tc>
        <w:tc>
          <w:tcPr>
            <w:tcW w:w="360" w:type="dxa"/>
            <w:vAlign w:val="bottom"/>
          </w:tcPr>
          <w:p>
            <w:pPr>
              <w:spacing w:after="0"/>
              <w:rPr>
                <w:sz w:val="13"/>
                <w:szCs w:val="13"/>
                <w:color w:val="auto"/>
              </w:rPr>
            </w:pPr>
          </w:p>
        </w:tc>
        <w:tc>
          <w:tcPr>
            <w:tcW w:w="1320" w:type="dxa"/>
            <w:vAlign w:val="bottom"/>
          </w:tcPr>
          <w:p>
            <w:pPr>
              <w:jc w:val="right"/>
              <w:ind w:right="551"/>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1"/>
        </w:trPr>
        <w:tc>
          <w:tcPr>
            <w:tcW w:w="9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0"/>
        </w:trPr>
        <w:tc>
          <w:tcPr>
            <w:tcW w:w="9520" w:type="dxa"/>
            <w:vAlign w:val="bottom"/>
          </w:tcPr>
          <w:p>
            <w:pPr>
              <w:ind w:left="20"/>
              <w:spacing w:after="0"/>
              <w:rPr>
                <w:sz w:val="20"/>
                <w:szCs w:val="20"/>
                <w:color w:val="auto"/>
              </w:rPr>
            </w:pPr>
            <w:r>
              <w:rPr>
                <w:rFonts w:ascii="Arial" w:cs="Arial" w:eastAsia="Arial" w:hAnsi="Arial"/>
                <w:sz w:val="14"/>
                <w:szCs w:val="14"/>
                <w:color w:val="auto"/>
              </w:rPr>
              <w:t>2028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0"/>
        </w:trPr>
        <w:tc>
          <w:tcPr>
            <w:tcW w:w="9520" w:type="dxa"/>
            <w:vAlign w:val="bottom"/>
          </w:tcPr>
          <w:p>
            <w:pPr>
              <w:ind w:left="20"/>
              <w:spacing w:after="0"/>
              <w:rPr>
                <w:sz w:val="20"/>
                <w:szCs w:val="20"/>
                <w:color w:val="auto"/>
              </w:rPr>
            </w:pPr>
            <w:r>
              <w:rPr>
                <w:rFonts w:ascii="Arial" w:cs="Arial" w:eastAsia="Arial" w:hAnsi="Arial"/>
                <w:sz w:val="14"/>
                <w:szCs w:val="14"/>
                <w:color w:val="auto"/>
              </w:rPr>
              <w:t>2030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9600" w:type="dxa"/>
            <w:vAlign w:val="bottom"/>
            <w:tcBorders>
              <w:bottom w:val="single" w:sz="8" w:color="CCEEFF"/>
            </w:tcBorders>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Total debt outstanding</w:t>
            </w:r>
          </w:p>
        </w:tc>
        <w:tc>
          <w:tcPr>
            <w:tcW w:w="360" w:type="dxa"/>
            <w:vAlign w:val="bottom"/>
            <w:tcBorders>
              <w:bottom w:val="single" w:sz="8" w:color="auto"/>
            </w:tcBorders>
            <w:shd w:val="clear" w:color="auto" w:fill="CCEEFF"/>
          </w:tcPr>
          <w:p>
            <w:pPr>
              <w:jc w:val="right"/>
              <w:ind w:right="189"/>
              <w:spacing w:after="0" w:line="150"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Less: Notes payable, current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00" w:type="dxa"/>
            <w:vAlign w:val="bottom"/>
            <w:tcBorders>
              <w:bottom w:val="single" w:sz="8" w:color="CCEEFF"/>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96"/>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Notes payable, non-current</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Refer to Note 3 — Investments and Fair Value Measurements for additional detail regarding the embedded derivative liability.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2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2025, the convertible notes were presented within convertible notes on the consolidated balance sheets at their original issuance value plus PIK interest, net of the unamortized debt discount and issuance costs, and were not marked to fair value at each reporting period.</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IPO, the convertible notes automatically converted into 12,827,963 shares of Class A common stock at a 35% discount to the IPO price. The Company recognized an $84.1 million loss on the debt extinguishment. The loss on extinguishment of debt was recognized within the consolidated statements of operations during the year ended January 31, 2026.</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related to the convertible notes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60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9,267</w:t>
            </w: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PIK interest</w:t>
            </w: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16,155</w:t>
            </w:r>
          </w:p>
        </w:tc>
      </w:tr>
      <w:tr>
        <w:trPr>
          <w:trHeight w:val="171"/>
        </w:trPr>
        <w:tc>
          <w:tcPr>
            <w:tcW w:w="6080" w:type="dxa"/>
            <w:vAlign w:val="bottom"/>
          </w:tcPr>
          <w:p>
            <w:pPr>
              <w:ind w:left="180"/>
              <w:spacing w:after="0"/>
              <w:rPr>
                <w:sz w:val="20"/>
                <w:szCs w:val="20"/>
                <w:color w:val="auto"/>
              </w:rPr>
            </w:pPr>
            <w:r>
              <w:rPr>
                <w:rFonts w:ascii="Arial" w:cs="Arial" w:eastAsia="Arial" w:hAnsi="Arial"/>
                <w:sz w:val="14"/>
                <w:szCs w:val="14"/>
                <w:color w:val="auto"/>
              </w:rPr>
              <w:t>Total non-cash interest expense</w:t>
            </w:r>
          </w:p>
        </w:tc>
        <w:tc>
          <w:tcPr>
            <w:tcW w:w="108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27,707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26,040</w:t>
            </w: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SAFEs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 ended January 31, 2026, we entered into SAFEs with multiple investors in exchange for cash proceeds of $155.0 million, with an interest rate of 12% per annum. We issued common stock warrants to investors together with the SAFEs. Refer to Note 3 — Investments and Fair Value Measurements for further information regarding the common stock warrants.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incurred debt issuance costs of $ 2.9 million in connection with the issuance of the SAFEs and common stock warrants, which were expensed when incurred and are presented within other income (expense), net in the accompanying consolidated statements of operations.</w:t>
      </w:r>
    </w:p>
    <w:p>
      <w:pPr>
        <w:spacing w:after="0" w:line="78" w:lineRule="exact"/>
        <w:rPr>
          <w:sz w:val="20"/>
          <w:szCs w:val="20"/>
          <w:color w:val="auto"/>
        </w:rPr>
      </w:pPr>
    </w:p>
    <w:p>
      <w:pPr>
        <w:ind w:right="1840"/>
        <w:spacing w:after="0" w:line="442" w:lineRule="auto"/>
        <w:rPr>
          <w:sz w:val="20"/>
          <w:szCs w:val="20"/>
          <w:color w:val="auto"/>
        </w:rPr>
      </w:pPr>
      <w:r>
        <w:rPr>
          <w:rFonts w:ascii="Arial" w:cs="Arial" w:eastAsia="Arial" w:hAnsi="Arial"/>
          <w:sz w:val="14"/>
          <w:szCs w:val="14"/>
          <w:color w:val="auto"/>
        </w:rPr>
        <w:t xml:space="preserve">In connection with the IPO, the SAFEs automatically converted into 7,851,008 shares of our Class A common stock at a 15% discount to the IPO price. </w:t>
      </w:r>
      <w:r>
        <w:rPr>
          <w:rFonts w:ascii="Arial" w:cs="Arial" w:eastAsia="Arial" w:hAnsi="Arial"/>
          <w:sz w:val="14"/>
          <w:szCs w:val="14"/>
          <w:b w:val="1"/>
          <w:bCs w:val="1"/>
          <w:i w:val="1"/>
          <w:iCs w:val="1"/>
          <w:color w:val="auto"/>
        </w:rPr>
        <w:t>Vista Facility</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SOFR plus 5%, and PIK interest of 1.5%. Interest was payable every three months in arrears, and PIK interest was added to the principal balance and compounded every three months.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consolidated balance sheets as additional paid-in capital.</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IPO, we paid $133.7 million to settle the Vista Facility and recognized a $13.3 million loss on the debt extinguishment. We did not incur a prepayment penalty under the terms of the facility because we prepaid the Vista Facility in connection with a qualified IPO. The loss on extinguishment of debt was recognized within the consolidated statements of operations during the year ended January 31, 2026. We were in compliance with all affirmative or negative covenants as of the settlement date. The common stock warrants issued in connection with the Vista Facility were net exercised for 486,005 shares of Class A common stock in connection with the IPO.</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related to the Vista Facility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Year Ended January 31,</w:t>
            </w:r>
          </w:p>
        </w:tc>
      </w:tr>
      <w:tr>
        <w:trPr>
          <w:trHeight w:val="150"/>
        </w:trPr>
        <w:tc>
          <w:tcPr>
            <w:tcW w:w="89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973"/>
              <w:spacing w:after="0"/>
              <w:rPr>
                <w:sz w:val="20"/>
                <w:szCs w:val="20"/>
                <w:color w:val="auto"/>
              </w:rPr>
            </w:pPr>
            <w:r>
              <w:rPr>
                <w:rFonts w:ascii="Arial" w:cs="Arial" w:eastAsia="Arial" w:hAnsi="Arial"/>
                <w:sz w:val="11"/>
                <w:szCs w:val="11"/>
                <w:b w:val="1"/>
                <w:bCs w:val="1"/>
                <w:color w:val="auto"/>
              </w:rPr>
              <w:t>2026</w:t>
            </w:r>
          </w:p>
        </w:tc>
      </w:tr>
      <w:tr>
        <w:trPr>
          <w:trHeight w:val="171"/>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180"/>
        </w:trPr>
        <w:tc>
          <w:tcPr>
            <w:tcW w:w="894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PIK interest</w:t>
            </w: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r>
      <w:tr>
        <w:trPr>
          <w:trHeight w:val="180"/>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interest</w:t>
            </w: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8,395</w:t>
            </w:r>
          </w:p>
        </w:tc>
      </w:tr>
      <w:tr>
        <w:trPr>
          <w:trHeight w:val="196"/>
        </w:trPr>
        <w:tc>
          <w:tcPr>
            <w:tcW w:w="8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expense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Loan Facility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June 2024, the Company entered into a loan agreement with Citibank for an uncommitted revolving line of credit facility (“Trade Loan Facility”), which was subsequently amended in July 2024 with changes to certain legal requirements. The loan agreement provided for a credit facility of up to $45.0 million. Borrowings under the facility required repayment subject to the terms of each borrowing request, subject to a maximum term of 90 days. Borrowings on the Trade Loan Facility incurred interest on a floating rate based on SOFR plus 2%. Borrowings under the Trade Loan Facility were secured by the Company’s billed accounts receivables. During the year ended January 31, 2026, we paid $45.3 million to settle the Trade Loan Facility, comprised of $45.0 million for the outstanding balance and $0.3 million for interest. No balances remain outstanding as of January 31, 2026.</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Promissory Note</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September 2022, the Company issued a promissory note (the “2022 Promissory Note”) to a lender for $150.0 million with a maturity date of September 26, 2025. In conjunction with the 2022 Promissory Note, we issued 599,280 common stock warrants. Interest accrued on the principal amount at 11.5% per annum and was comprised of cash interest of 4% and PIK interest of 7.5%. Interest was payable quarterly in arrears and PIK interest was added to the principal balance and compounded on a quarterly basis. We had the option to prepay the 2022 Promissory Note at any time for a prepayment amount equal to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amortized to interest expense at an effective interest rate of 14.5% over the term of the loan. The common stock warrants were subsequently exercised during the year ended January 31, 2023.</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February 2025, we paid $198.1 million to settle the 2022 Promissory Note and recognized a $20.5 million loss on the debt extinguishment. The loss on extinguishment of debt is recognized within the consolidated statements of operations. We were in compliance with all affirmative or negative covenants as of the settlement date.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related to the 2022 Promissory Note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60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w:t>
            </w:r>
          </w:p>
        </w:tc>
        <w:tc>
          <w:tcPr>
            <w:tcW w:w="1120" w:type="dxa"/>
            <w:vAlign w:val="bottom"/>
            <w:shd w:val="clear" w:color="auto" w:fill="CCEEFF"/>
          </w:tcPr>
          <w:p>
            <w:pPr>
              <w:jc w:val="right"/>
              <w:ind w:right="95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w:t>
            </w: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1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PIK interest</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11,910</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interest</w:t>
            </w: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6,335</w:t>
            </w:r>
          </w:p>
        </w:tc>
      </w:tr>
      <w:tr>
        <w:trPr>
          <w:trHeight w:val="196"/>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expense</w:t>
            </w:r>
          </w:p>
        </w:tc>
        <w:tc>
          <w:tcPr>
            <w:tcW w:w="112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VARIABLE INTEREST ENTITIES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 Labs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8 — Debt for further information on the Warehouse Credit Facility.</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carrying amounts of Liquid Labs’ assets and liabilities included in our consolidated balance sheets are summarized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Borders>
              <w:bottom w:val="single" w:sz="8" w:color="242424"/>
            </w:tcBorders>
          </w:tcPr>
          <w:p>
            <w:pPr>
              <w:spacing w:after="0"/>
              <w:rPr>
                <w:sz w:val="13"/>
                <w:szCs w:val="13"/>
                <w:color w:val="auto"/>
              </w:rPr>
            </w:pPr>
          </w:p>
        </w:tc>
        <w:tc>
          <w:tcPr>
            <w:tcW w:w="1940" w:type="dxa"/>
            <w:vAlign w:val="bottom"/>
            <w:tcBorders>
              <w:bottom w:val="single" w:sz="8" w:color="242424"/>
            </w:tcBorders>
            <w:gridSpan w:val="3"/>
          </w:tcPr>
          <w:p>
            <w:pPr>
              <w:jc w:val="right"/>
              <w:ind w:right="6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242424"/>
            </w:tcBorders>
          </w:tcPr>
          <w:p>
            <w:pPr>
              <w:spacing w:after="0"/>
              <w:rPr>
                <w:sz w:val="13"/>
                <w:szCs w:val="13"/>
                <w:color w:val="auto"/>
              </w:rPr>
            </w:pPr>
          </w:p>
        </w:tc>
      </w:tr>
      <w:tr>
        <w:trPr>
          <w:trHeight w:val="150"/>
        </w:trPr>
        <w:tc>
          <w:tcPr>
            <w:tcW w:w="624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2025</w:t>
            </w:r>
          </w:p>
        </w:tc>
      </w:tr>
      <w:tr>
        <w:trPr>
          <w:trHeight w:val="161"/>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 of Liquid Labs</w:t>
            </w:r>
          </w:p>
        </w:tc>
        <w:tc>
          <w:tcPr>
            <w:tcW w:w="1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2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7,142</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57,535</w:t>
            </w: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Corporate card receivables</w:t>
            </w:r>
            <w:r>
              <w:rPr>
                <w:rFonts w:ascii="Arial" w:cs="Arial" w:eastAsia="Arial" w:hAnsi="Arial"/>
                <w:sz w:val="18"/>
                <w:szCs w:val="18"/>
                <w:color w:val="auto"/>
                <w:vertAlign w:val="superscript"/>
              </w:rPr>
              <w:t>(1)</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199,249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158,124</w:t>
            </w: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1,281</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1,001</w:t>
            </w:r>
          </w:p>
        </w:tc>
      </w:tr>
      <w:tr>
        <w:trPr>
          <w:trHeight w:val="18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2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8,560</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1,552</w:t>
            </w:r>
          </w:p>
        </w:tc>
      </w:tr>
      <w:tr>
        <w:trPr>
          <w:trHeight w:val="18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Warehouse Credit Facility</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118,174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214,238</w:t>
            </w:r>
          </w:p>
        </w:tc>
      </w:tr>
      <w:tr>
        <w:trPr>
          <w:trHeight w:val="212"/>
        </w:trPr>
        <w:tc>
          <w:tcPr>
            <w:tcW w:w="6240" w:type="dxa"/>
            <w:vAlign w:val="bottom"/>
          </w:tcPr>
          <w:p>
            <w:pPr>
              <w:spacing w:after="0"/>
              <w:rPr>
                <w:sz w:val="20"/>
                <w:szCs w:val="20"/>
                <w:color w:val="auto"/>
              </w:rPr>
            </w:pPr>
            <w:r>
              <w:rPr>
                <w:rFonts w:ascii="Arial" w:cs="Arial" w:eastAsia="Arial" w:hAnsi="Arial"/>
                <w:sz w:val="13"/>
                <w:szCs w:val="13"/>
                <w:color w:val="auto"/>
              </w:rPr>
              <w:t>________________</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7"/>
        </w:trPr>
        <w:tc>
          <w:tcPr>
            <w:tcW w:w="8240" w:type="dxa"/>
            <w:vAlign w:val="bottom"/>
            <w:gridSpan w:val="3"/>
          </w:tcPr>
          <w:p>
            <w:pPr>
              <w:spacing w:after="0"/>
              <w:rPr>
                <w:sz w:val="20"/>
                <w:szCs w:val="20"/>
                <w:color w:val="auto"/>
              </w:rPr>
            </w:pPr>
            <w:r>
              <w:rPr>
                <w:rFonts w:ascii="Arial" w:cs="Arial" w:eastAsia="Arial" w:hAnsi="Arial"/>
                <w:sz w:val="13"/>
                <w:szCs w:val="13"/>
                <w:color w:val="auto"/>
              </w:rPr>
              <w:t>(1)  Corporate card receivables as of January 31, 2026 and 2025 represent pledged customer receivables from Navan, Inc. to Liquid Labs.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98"/>
        </w:trPr>
        <w:tc>
          <w:tcPr>
            <w:tcW w:w="6240" w:type="dxa"/>
            <w:vAlign w:val="bottom"/>
          </w:tcPr>
          <w:p>
            <w:pPr>
              <w:spacing w:after="0"/>
              <w:rPr>
                <w:sz w:val="20"/>
                <w:szCs w:val="20"/>
                <w:color w:val="auto"/>
              </w:rPr>
            </w:pPr>
            <w:r>
              <w:rPr>
                <w:rFonts w:ascii="Arial" w:cs="Arial" w:eastAsia="Arial" w:hAnsi="Arial"/>
                <w:sz w:val="14"/>
                <w:szCs w:val="14"/>
                <w:b w:val="1"/>
                <w:bCs w:val="1"/>
                <w:color w:val="auto"/>
              </w:rPr>
              <w:t>NOTE 10 – EQUITY INCENTIVE PLANS</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2015 Equity Incentive Plan and 2025 Equity Incentive Plan</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7"/>
        </w:trPr>
        <w:tc>
          <w:tcPr>
            <w:tcW w:w="6240" w:type="dxa"/>
            <w:vAlign w:val="bottom"/>
          </w:tcPr>
          <w:p>
            <w:pPr>
              <w:spacing w:after="0"/>
              <w:rPr>
                <w:sz w:val="20"/>
                <w:szCs w:val="20"/>
                <w:color w:val="auto"/>
              </w:rPr>
            </w:pPr>
            <w:r>
              <w:rPr>
                <w:rFonts w:ascii="Arial" w:cs="Arial" w:eastAsia="Arial" w:hAnsi="Arial"/>
                <w:sz w:val="14"/>
                <w:szCs w:val="14"/>
                <w:color w:val="auto"/>
              </w:rPr>
              <w:t>In September 2025, the Company’s Board of Directors (the “Board of Directors”) adopted, and in</w:t>
            </w:r>
          </w:p>
        </w:tc>
        <w:tc>
          <w:tcPr>
            <w:tcW w:w="5040" w:type="dxa"/>
            <w:vAlign w:val="bottom"/>
            <w:gridSpan w:val="6"/>
          </w:tcPr>
          <w:p>
            <w:pPr>
              <w:jc w:val="right"/>
              <w:spacing w:after="0"/>
              <w:rPr>
                <w:sz w:val="20"/>
                <w:szCs w:val="20"/>
                <w:color w:val="auto"/>
              </w:rPr>
            </w:pPr>
            <w:r>
              <w:rPr>
                <w:rFonts w:ascii="Arial" w:cs="Arial" w:eastAsia="Arial" w:hAnsi="Arial"/>
                <w:sz w:val="14"/>
                <w:szCs w:val="14"/>
                <w:color w:val="auto"/>
              </w:rPr>
              <w:t>October 2025, the stockholders approved, the 2025 Equity Incentive Plan (the</w:t>
            </w:r>
          </w:p>
        </w:tc>
      </w:tr>
    </w:tbl>
    <w:p>
      <w:pPr>
        <w:jc w:val="both"/>
        <w:spacing w:after="0" w:line="257" w:lineRule="auto"/>
        <w:rPr>
          <w:sz w:val="20"/>
          <w:szCs w:val="20"/>
          <w:color w:val="auto"/>
        </w:rPr>
      </w:pPr>
      <w:r>
        <w:rPr>
          <w:rFonts w:ascii="Arial" w:cs="Arial" w:eastAsia="Arial" w:hAnsi="Arial"/>
          <w:sz w:val="14"/>
          <w:szCs w:val="14"/>
          <w:color w:val="auto"/>
        </w:rPr>
        <w:t>“2025 Plan”). The 2025 Plan became effective upon the effectiveness of the registration statement for the Company’s IPO. No further grants will be made under the Company’s 2015 Equity Incentive Plan (the “2015 Plan” and together with the 2025 Plan, the “Plans”). The 2025 Plan provides for the grant of incentive stock options to employees, including employees of any parent or subsidiary, and for the grant of non-qualified stock options, stock appreciation rights, restricted stock awards, restricted stock unit awards, performance awards and other forms of awards to employees, directors, and consultants, including employees and consultants of our affiliates. The Company’s default tax withholding method for RSUs is the sell-to-cover method, with the exception of RSUs settled in connection with the IPO for which the Company applied the net settlement method.</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connection with the IPO, the Board of Directors and the Company’s stockholders approved up to 82,887,502 shares of Class A common stock to be reserved for issuance under the 2025 Plan, consisting of 35,000,000 new shares plus up to 47,887,502 shares underlying outstanding awards granted under our 2015 Plan that may become available for issuance under the 2025 Plan from time to time that, after the date the 2025 Plan became effective, are either not issued (due to the awards expiring or being settled in cash), are forfeited or repurchased due to failure to vest, or are withheld to satisfy the exercise, strike, or purchase price or tax withholding obligations. In addition, subject to any capitalization adjustments made as provided under the 2025 Plan, the aggregate number of shares authorized for issuance will automatically increase on the first day of each fiscal year for a period of ten years commencing on the first day of the fiscal year ending January 31, 2027 and ending on (and including) the first day of the fiscal year ending January 31, 2036, in an amount equal to 5% of the total number of shares of common stock of the Company outstanding on the last day of the preceding fiscal year; provided, however, that the Board of Directors may act prior to the first day of a given fiscal year to provide that the increase for that fiscal year will be a lesser number of shares.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37,811,841 shares of Class A common stock remain available for issuance under the 2025 Plan.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exercise price of options granted under the Plans must be at least equal to 100% of the fair value of the Company’s common stock at the date of grant as determined by the Board of Directors. During the year ended January 31, 2026, no options have been granted to purchase stock at a price less than its fair value as determined by the Board of Directors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color w:val="auto"/>
        </w:rPr>
        <w:t xml:space="preserve">Early Exercise of Common Stock — </w:t>
      </w:r>
      <w:r>
        <w:rPr>
          <w:rFonts w:ascii="Arial" w:cs="Arial" w:eastAsia="Arial" w:hAnsi="Arial"/>
          <w:sz w:val="14"/>
          <w:szCs w:val="14"/>
          <w:color w:val="auto"/>
        </w:rPr>
        <w:t>Certain stock options granted under the 2015 Plan provide option holders the right to elect to exercise unvested options in exchange for</w:t>
      </w:r>
      <w:r>
        <w:rPr>
          <w:rFonts w:ascii="Arial" w:cs="Arial" w:eastAsia="Arial" w:hAnsi="Arial"/>
          <w:sz w:val="14"/>
          <w:szCs w:val="14"/>
          <w:b w:val="1"/>
          <w:bCs w:val="1"/>
          <w:color w:val="auto"/>
        </w:rPr>
        <w:t xml:space="preserve"> </w:t>
      </w:r>
      <w:r>
        <w:rPr>
          <w:rFonts w:ascii="Arial" w:cs="Arial" w:eastAsia="Arial" w:hAnsi="Arial"/>
          <w:sz w:val="14"/>
          <w:szCs w:val="14"/>
          <w:color w:val="auto"/>
        </w:rPr>
        <w:t>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 the consolidated balance sheets and statements of redeemable convertible preferred stock and stockholders’ deficit.</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2025, and 2024, there were 5,284, 49,761, and 133,332 shares, respectively, subject to repurchase due to early exercises and the corresponding liability was $0.1 million, $1.0 million, and $2.6 million, respectively.</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Stock Options — </w:t>
      </w:r>
      <w:r>
        <w:rPr>
          <w:rFonts w:ascii="Arial" w:cs="Arial" w:eastAsia="Arial" w:hAnsi="Arial"/>
          <w:sz w:val="14"/>
          <w:szCs w:val="14"/>
          <w:color w:val="auto"/>
        </w:rPr>
        <w:t>Options granted under the Plans continue to vest until the last day of employment and generally vest over 4 years and expire 10 years from the date of grant. The</w:t>
      </w:r>
      <w:r>
        <w:rPr>
          <w:rFonts w:ascii="Arial" w:cs="Arial" w:eastAsia="Arial" w:hAnsi="Arial"/>
          <w:sz w:val="14"/>
          <w:szCs w:val="14"/>
          <w:b w:val="1"/>
          <w:bCs w:val="1"/>
          <w:color w:val="auto"/>
        </w:rPr>
        <w:t xml:space="preserve"> </w:t>
      </w:r>
      <w:r>
        <w:rPr>
          <w:rFonts w:ascii="Arial" w:cs="Arial" w:eastAsia="Arial" w:hAnsi="Arial"/>
          <w:sz w:val="14"/>
          <w:szCs w:val="14"/>
          <w:color w:val="auto"/>
        </w:rPr>
        <w:t>fair value of the stock options granted was estimated using the following assumptions in the Black-Scholes option pricing model: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00" w:type="dxa"/>
            <w:vAlign w:val="bottom"/>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Year Ended January 31,</w:t>
            </w:r>
          </w:p>
        </w:tc>
        <w:tc>
          <w:tcPr>
            <w:tcW w:w="2060" w:type="dxa"/>
            <w:vAlign w:val="bottom"/>
            <w:tcBorders>
              <w:bottom w:val="single" w:sz="8" w:color="auto"/>
            </w:tcBorders>
          </w:tcPr>
          <w:p>
            <w:pPr>
              <w:spacing w:after="0"/>
              <w:rPr>
                <w:sz w:val="13"/>
                <w:szCs w:val="13"/>
                <w:color w:val="auto"/>
              </w:rPr>
            </w:pPr>
          </w:p>
        </w:tc>
      </w:tr>
      <w:tr>
        <w:trPr>
          <w:trHeight w:val="150"/>
        </w:trPr>
        <w:tc>
          <w:tcPr>
            <w:tcW w:w="490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jc w:val="right"/>
              <w:ind w:right="852"/>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ind w:right="83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2024</w:t>
            </w:r>
          </w:p>
        </w:tc>
      </w:tr>
      <w:tr>
        <w:trPr>
          <w:trHeight w:val="171"/>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2080" w:type="dxa"/>
            <w:vAlign w:val="bottom"/>
            <w:shd w:val="clear" w:color="auto" w:fill="CCEEFF"/>
          </w:tcPr>
          <w:p>
            <w:pPr>
              <w:jc w:val="right"/>
              <w:ind w:right="912"/>
              <w:spacing w:after="0"/>
              <w:rPr>
                <w:sz w:val="20"/>
                <w:szCs w:val="20"/>
                <w:color w:val="auto"/>
              </w:rPr>
            </w:pPr>
            <w:r>
              <w:rPr>
                <w:rFonts w:ascii="Arial" w:cs="Arial" w:eastAsia="Arial" w:hAnsi="Arial"/>
                <w:sz w:val="14"/>
                <w:szCs w:val="14"/>
                <w:color w:val="auto"/>
              </w:rPr>
              <w:t>56.40% - 58.49%</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14"/>
              <w:spacing w:after="0"/>
              <w:rPr>
                <w:sz w:val="20"/>
                <w:szCs w:val="20"/>
                <w:color w:val="auto"/>
              </w:rPr>
            </w:pPr>
            <w:r>
              <w:rPr>
                <w:rFonts w:ascii="Arial" w:cs="Arial" w:eastAsia="Arial" w:hAnsi="Arial"/>
                <w:sz w:val="14"/>
                <w:szCs w:val="14"/>
                <w:color w:val="auto"/>
              </w:rPr>
              <w:t>56.09% - 60.19%</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59.13% - 61.13%</w:t>
            </w: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2080" w:type="dxa"/>
            <w:vAlign w:val="bottom"/>
          </w:tcPr>
          <w:p>
            <w:pPr>
              <w:jc w:val="right"/>
              <w:spacing w:after="0"/>
              <w:rPr>
                <w:sz w:val="20"/>
                <w:szCs w:val="20"/>
                <w:color w:val="auto"/>
              </w:rPr>
            </w:pPr>
            <w:r>
              <w:rPr>
                <w:rFonts w:ascii="Arial" w:cs="Arial" w:eastAsia="Arial" w:hAnsi="Arial"/>
                <w:sz w:val="14"/>
                <w:szCs w:val="14"/>
                <w:color w:val="auto"/>
              </w:rPr>
              <w:t>3.79% - 4.07%</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3.86% - 4.60%</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3.49% - 4.71%</w:t>
            </w:r>
          </w:p>
        </w:tc>
      </w:tr>
      <w:tr>
        <w:trPr>
          <w:trHeight w:val="18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5.23 - 6.08</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5.41 - 6.06</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5.23 - 6.38</w:t>
            </w: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1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1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06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option activity for the year ended January 31, 2026 (in thousands, except price per share, share and years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80" w:type="dxa"/>
            <w:vAlign w:val="bottom"/>
          </w:tcPr>
          <w:p>
            <w:pPr>
              <w:spacing w:after="0"/>
              <w:rPr>
                <w:sz w:val="10"/>
                <w:szCs w:val="10"/>
                <w:color w:val="auto"/>
              </w:rPr>
            </w:pPr>
          </w:p>
        </w:tc>
        <w:tc>
          <w:tcPr>
            <w:tcW w:w="158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auto"/>
              </w:rPr>
              <w:t>Number of Stock Options</w:t>
            </w:r>
          </w:p>
        </w:tc>
        <w:tc>
          <w:tcPr>
            <w:tcW w:w="80" w:type="dxa"/>
            <w:vAlign w:val="bottom"/>
          </w:tcPr>
          <w:p>
            <w:pPr>
              <w:spacing w:after="0"/>
              <w:rPr>
                <w:sz w:val="10"/>
                <w:szCs w:val="10"/>
                <w:color w:val="auto"/>
              </w:rPr>
            </w:pP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Weighted-Average Exercise</w:t>
            </w: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 Average</w:t>
            </w: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164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rPr>
              <w:t>Remaining Contractual Life</w:t>
            </w:r>
          </w:p>
        </w:tc>
        <w:tc>
          <w:tcPr>
            <w:tcW w:w="80" w:type="dxa"/>
            <w:vAlign w:val="bottom"/>
          </w:tcPr>
          <w:p>
            <w:pPr>
              <w:spacing w:after="0"/>
              <w:rPr>
                <w:sz w:val="10"/>
                <w:szCs w:val="10"/>
                <w:color w:val="auto"/>
              </w:rPr>
            </w:pPr>
          </w:p>
        </w:tc>
        <w:tc>
          <w:tcPr>
            <w:tcW w:w="146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auto"/>
              </w:rPr>
              <w:t>Aggregate Intrinsic Value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80" w:type="dxa"/>
            <w:vAlign w:val="bottom"/>
          </w:tcPr>
          <w:p>
            <w:pPr>
              <w:jc w:val="right"/>
              <w:ind w:right="392"/>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Price per Share</w:t>
            </w: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(Years)</w:t>
            </w:r>
          </w:p>
        </w:tc>
        <w:tc>
          <w:tcPr>
            <w:tcW w:w="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40,971,097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402,471</w:t>
            </w:r>
          </w:p>
        </w:tc>
        <w:tc>
          <w:tcPr>
            <w:tcW w:w="0" w:type="dxa"/>
            <w:vAlign w:val="bottom"/>
          </w:tcPr>
          <w:p>
            <w:pPr>
              <w:spacing w:after="0"/>
              <w:rPr>
                <w:sz w:val="1"/>
                <w:szCs w:val="1"/>
                <w:color w:val="auto"/>
              </w:rPr>
            </w:pPr>
          </w:p>
        </w:tc>
      </w:tr>
      <w:tr>
        <w:trPr>
          <w:trHeight w:val="180"/>
        </w:trPr>
        <w:tc>
          <w:tcPr>
            <w:tcW w:w="47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3,571,419</w:t>
            </w:r>
          </w:p>
        </w:tc>
        <w:tc>
          <w:tcPr>
            <w:tcW w:w="320" w:type="dxa"/>
            <w:vAlign w:val="bottom"/>
            <w:gridSpan w:val="2"/>
          </w:tcPr>
          <w:p>
            <w:pPr>
              <w:jc w:val="right"/>
              <w:ind w:right="76"/>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23.35</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(3,002,251)</w:t>
            </w:r>
          </w:p>
        </w:tc>
        <w:tc>
          <w:tcPr>
            <w:tcW w:w="320" w:type="dxa"/>
            <w:vAlign w:val="bottom"/>
            <w:gridSpan w:val="2"/>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49,674</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Cancelled/forfeited/expired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(2,256,780)</w:t>
            </w:r>
          </w:p>
        </w:tc>
        <w:tc>
          <w:tcPr>
            <w:tcW w:w="320" w:type="dxa"/>
            <w:vAlign w:val="bottom"/>
            <w:tcBorders>
              <w:bottom w:val="single" w:sz="8" w:color="CCEEFF"/>
            </w:tcBorders>
            <w:gridSpan w:val="2"/>
          </w:tcPr>
          <w:p>
            <w:pPr>
              <w:jc w:val="right"/>
              <w:ind w:right="7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39,283,485</w:t>
            </w:r>
          </w:p>
        </w:tc>
        <w:tc>
          <w:tcPr>
            <w:tcW w:w="3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55,743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tcPr>
          <w:p>
            <w:pPr>
              <w:ind w:left="20"/>
              <w:spacing w:after="0" w:line="143" w:lineRule="exact"/>
              <w:rPr>
                <w:sz w:val="20"/>
                <w:szCs w:val="20"/>
                <w:color w:val="auto"/>
              </w:rPr>
            </w:pPr>
            <w:r>
              <w:rPr>
                <w:rFonts w:ascii="Arial" w:cs="Arial" w:eastAsia="Arial" w:hAnsi="Arial"/>
                <w:sz w:val="14"/>
                <w:szCs w:val="14"/>
                <w:color w:val="auto"/>
              </w:rPr>
              <w:t>Vested and expected to vest as of January 31, 2026</w:t>
            </w:r>
          </w:p>
        </w:tc>
        <w:tc>
          <w:tcPr>
            <w:tcW w:w="1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39,283,485</w:t>
            </w:r>
          </w:p>
        </w:tc>
        <w:tc>
          <w:tcPr>
            <w:tcW w:w="320" w:type="dxa"/>
            <w:vAlign w:val="bottom"/>
            <w:gridSpan w:val="2"/>
          </w:tcPr>
          <w:p>
            <w:pPr>
              <w:jc w:val="right"/>
              <w:ind w:right="76"/>
              <w:spacing w:after="0" w:line="143"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3" w:lineRule="exact"/>
              <w:rPr>
                <w:sz w:val="20"/>
                <w:szCs w:val="20"/>
                <w:color w:val="auto"/>
              </w:rPr>
            </w:pPr>
            <w:r>
              <w:rPr>
                <w:rFonts w:ascii="Arial" w:cs="Arial" w:eastAsia="Arial" w:hAnsi="Arial"/>
                <w:sz w:val="14"/>
                <w:szCs w:val="14"/>
                <w:color w:val="auto"/>
              </w:rPr>
              <w:t>13.91</w:t>
            </w:r>
          </w:p>
        </w:tc>
        <w:tc>
          <w:tcPr>
            <w:tcW w:w="80" w:type="dxa"/>
            <w:vAlign w:val="bottom"/>
          </w:tcPr>
          <w:p>
            <w:pPr>
              <w:spacing w:after="0"/>
              <w:rPr>
                <w:sz w:val="12"/>
                <w:szCs w:val="12"/>
                <w:color w:val="auto"/>
              </w:rPr>
            </w:pPr>
          </w:p>
        </w:tc>
        <w:tc>
          <w:tcPr>
            <w:tcW w:w="1540" w:type="dxa"/>
            <w:vAlign w:val="bottom"/>
          </w:tcPr>
          <w:p>
            <w:pPr>
              <w:jc w:val="right"/>
              <w:spacing w:after="0" w:line="143"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55,743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Exercisable as of January 31,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30,895,271</w:t>
            </w:r>
          </w:p>
        </w:tc>
        <w:tc>
          <w:tcPr>
            <w:tcW w:w="3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55,743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weighted-average grant date fair value of options granted during the years ended January 31, 2026, 2025 and 2024, was $13.76, $ 11.87 and $10.78 per share, respectively. The intrinsic value of options exercised for the years ended January 31, 2026, 2025 and 2024, was $49.7 million, $9.1 million, and $6.0 million respectively. The aggregate grant-date fair value of options that vested during the years ended January 31, 2026, 2025 and 2024, was $73.4 million, $135.9 million and $73.8 million, respectively. As of January 31, 2026, there was approximately $97.7 million of unrecognized compensation cost related to unvested stock options granted, which is expected to be recognized over a weighted-average period of 2.1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 with Performance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related to RSUs with performance-based conditions for the year ended January 31,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560" w:type="dxa"/>
            <w:vAlign w:val="bottom"/>
          </w:tcPr>
          <w:p>
            <w:pPr>
              <w:jc w:val="right"/>
              <w:ind w:right="13"/>
              <w:spacing w:after="0"/>
              <w:rPr>
                <w:sz w:val="20"/>
                <w:szCs w:val="20"/>
                <w:color w:val="auto"/>
              </w:rPr>
            </w:pPr>
            <w:r>
              <w:rPr>
                <w:rFonts w:ascii="Arial" w:cs="Arial" w:eastAsia="Arial" w:hAnsi="Arial"/>
                <w:sz w:val="11"/>
                <w:szCs w:val="11"/>
                <w:b w:val="1"/>
                <w:bCs w:val="1"/>
                <w:color w:val="auto"/>
              </w:rPr>
              <w:t>Number of Shares Subject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3"/>
              <w:spacing w:after="0"/>
              <w:rPr>
                <w:sz w:val="20"/>
                <w:szCs w:val="20"/>
                <w:color w:val="auto"/>
              </w:rPr>
            </w:pPr>
            <w:r>
              <w:rPr>
                <w:rFonts w:ascii="Arial" w:cs="Arial" w:eastAsia="Arial" w:hAnsi="Arial"/>
                <w:sz w:val="11"/>
                <w:szCs w:val="11"/>
                <w:b w:val="1"/>
                <w:bCs w:val="1"/>
                <w:color w:val="auto"/>
              </w:rPr>
              <w:t>Weighted-Average Grant</w:t>
            </w:r>
          </w:p>
        </w:tc>
      </w:tr>
      <w:tr>
        <w:trPr>
          <w:trHeight w:val="144"/>
        </w:trPr>
        <w:tc>
          <w:tcPr>
            <w:tcW w:w="806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to RSUs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Date Fair Value</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as of January 31, 2025</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4,551,847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r>
      <w:tr>
        <w:trPr>
          <w:trHeight w:val="180"/>
        </w:trPr>
        <w:tc>
          <w:tcPr>
            <w:tcW w:w="8060" w:type="dxa"/>
            <w:vAlign w:val="bottom"/>
          </w:tcPr>
          <w:p>
            <w:pPr>
              <w:ind w:left="22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4,549,447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24.09</w:t>
            </w:r>
          </w:p>
        </w:tc>
      </w:tr>
      <w:tr>
        <w:trPr>
          <w:trHeight w:val="180"/>
        </w:trPr>
        <w:tc>
          <w:tcPr>
            <w:tcW w:w="8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(829,762)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w:t>
            </w:r>
          </w:p>
        </w:tc>
      </w:tr>
      <w:tr>
        <w:trPr>
          <w:trHeight w:val="180"/>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(2,049,351)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19.48</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6,222,181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year ended January 31, 2026, the Company recognized $101.8 million of stock-based compensation expense for RSUs with performance-based vesting conditions. The performance-based vesting condition was satisfied upon the effective date of our registration statement on Form S-1 in connection with our IPO. In connection with the IPO, we recognized a one-time cumulative stock-based compensation expense charge of $81.8 million using the accelerated attribution method for RSUs for which the service-based vesting condition had been fully or partially satisfied prior to the IPO, and we capitalized $0.9 million related to software development. As of January 31, 2026, there was approximately $ 82.5 million of unrecognized stock-based compensation expense related to RSUs with performance-based vesting conditions that have not met the service condition, which is expected to be recognized over a weighted-average period of 3.2 years.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 with Service-Only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related to RSUs with service-only conditions for the year ended January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Arial" w:cs="Arial" w:eastAsia="Arial" w:hAnsi="Arial"/>
                <w:sz w:val="11"/>
                <w:szCs w:val="11"/>
                <w:b w:val="1"/>
                <w:bCs w:val="1"/>
                <w:color w:val="auto"/>
              </w:rPr>
              <w:t>Number of Shares Subject to</w:t>
            </w:r>
          </w:p>
        </w:tc>
        <w:tc>
          <w:tcPr>
            <w:tcW w:w="80" w:type="dxa"/>
            <w:vAlign w:val="bottom"/>
          </w:tcPr>
          <w:p>
            <w:pPr>
              <w:spacing w:after="0"/>
              <w:rPr>
                <w:sz w:val="10"/>
                <w:szCs w:val="10"/>
                <w:color w:val="auto"/>
              </w:rPr>
            </w:pPr>
          </w:p>
        </w:tc>
        <w:tc>
          <w:tcPr>
            <w:tcW w:w="1680" w:type="dxa"/>
            <w:vAlign w:val="bottom"/>
            <w:gridSpan w:val="2"/>
          </w:tcPr>
          <w:p>
            <w:pPr>
              <w:jc w:val="right"/>
              <w:spacing w:after="0"/>
              <w:rPr>
                <w:sz w:val="20"/>
                <w:szCs w:val="20"/>
                <w:color w:val="auto"/>
              </w:rPr>
            </w:pPr>
            <w:r>
              <w:rPr>
                <w:rFonts w:ascii="Arial" w:cs="Arial" w:eastAsia="Arial" w:hAnsi="Arial"/>
                <w:sz w:val="11"/>
                <w:szCs w:val="11"/>
                <w:b w:val="1"/>
                <w:bCs w:val="1"/>
                <w:color w:val="auto"/>
              </w:rPr>
              <w:t>Weighted-Average Grant Date</w:t>
            </w:r>
          </w:p>
        </w:tc>
      </w:tr>
      <w:tr>
        <w:trPr>
          <w:trHeight w:val="149"/>
        </w:trPr>
        <w:tc>
          <w:tcPr>
            <w:tcW w:w="784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RSUs</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Fair Value</w:t>
            </w:r>
          </w:p>
        </w:tc>
      </w:tr>
      <w:tr>
        <w:trPr>
          <w:trHeight w:val="17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as of January 31, 2025</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r>
      <w:tr>
        <w:trPr>
          <w:trHeight w:val="180"/>
        </w:trPr>
        <w:tc>
          <w:tcPr>
            <w:tcW w:w="7840" w:type="dxa"/>
            <w:vAlign w:val="bottom"/>
          </w:tcPr>
          <w:p>
            <w:pPr>
              <w:ind w:left="220"/>
              <w:spacing w:after="0"/>
              <w:rPr>
                <w:sz w:val="20"/>
                <w:szCs w:val="20"/>
                <w:color w:val="auto"/>
              </w:rPr>
            </w:pPr>
            <w:r>
              <w:rPr>
                <w:rFonts w:ascii="Arial" w:cs="Arial" w:eastAsia="Arial" w:hAnsi="Arial"/>
                <w:sz w:val="14"/>
                <w:szCs w:val="14"/>
                <w:color w:val="auto"/>
              </w:rPr>
              <w:t>Granted</w:t>
            </w:r>
          </w:p>
        </w:tc>
        <w:tc>
          <w:tcPr>
            <w:tcW w:w="1680" w:type="dxa"/>
            <w:vAlign w:val="bottom"/>
          </w:tcPr>
          <w:p>
            <w:pPr>
              <w:jc w:val="right"/>
              <w:spacing w:after="0"/>
              <w:rPr>
                <w:sz w:val="20"/>
                <w:szCs w:val="20"/>
                <w:color w:val="auto"/>
              </w:rPr>
            </w:pPr>
            <w:r>
              <w:rPr>
                <w:rFonts w:ascii="Arial" w:cs="Arial" w:eastAsia="Arial" w:hAnsi="Arial"/>
                <w:sz w:val="14"/>
                <w:szCs w:val="14"/>
                <w:color w:val="auto"/>
              </w:rPr>
              <w:t>3,092,204</w:t>
            </w:r>
          </w:p>
        </w:tc>
        <w:tc>
          <w:tcPr>
            <w:tcW w:w="420" w:type="dxa"/>
            <w:vAlign w:val="bottom"/>
            <w:gridSpan w:val="2"/>
          </w:tcPr>
          <w:p>
            <w:pPr>
              <w:jc w:val="right"/>
              <w:ind w:right="176"/>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20.54</w:t>
            </w:r>
          </w:p>
        </w:tc>
      </w:tr>
      <w:tr>
        <w:trPr>
          <w:trHeight w:val="180"/>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(73,309)</w:t>
            </w:r>
          </w:p>
        </w:tc>
        <w:tc>
          <w:tcPr>
            <w:tcW w:w="420" w:type="dxa"/>
            <w:vAlign w:val="bottom"/>
            <w:gridSpan w:val="2"/>
            <w:shd w:val="clear" w:color="auto" w:fill="CCEEFF"/>
          </w:tcPr>
          <w:p>
            <w:pPr>
              <w:jc w:val="right"/>
              <w:ind w:right="176"/>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r>
      <w:tr>
        <w:trPr>
          <w:trHeight w:val="180"/>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(31,875)</w:t>
            </w:r>
          </w:p>
        </w:tc>
        <w:tc>
          <w:tcPr>
            <w:tcW w:w="420" w:type="dxa"/>
            <w:vAlign w:val="bottom"/>
            <w:tcBorders>
              <w:bottom w:val="single" w:sz="8" w:color="CCEEFF"/>
            </w:tcBorders>
            <w:gridSpan w:val="2"/>
          </w:tcPr>
          <w:p>
            <w:pPr>
              <w:jc w:val="right"/>
              <w:ind w:right="17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22.38</w:t>
            </w:r>
          </w:p>
        </w:tc>
      </w:tr>
      <w:tr>
        <w:trPr>
          <w:trHeight w:val="175"/>
        </w:trPr>
        <w:tc>
          <w:tcPr>
            <w:tcW w:w="784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Unvested and outstanding as of January 31, 2026</w:t>
            </w:r>
          </w:p>
        </w:tc>
        <w:tc>
          <w:tcPr>
            <w:tcW w:w="16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3,089,020</w:t>
            </w:r>
          </w:p>
        </w:tc>
        <w:tc>
          <w:tcPr>
            <w:tcW w:w="420" w:type="dxa"/>
            <w:vAlign w:val="bottom"/>
            <w:tcBorders>
              <w:bottom w:val="single" w:sz="8" w:color="CCEEFF"/>
            </w:tcBorders>
            <w:gridSpan w:val="2"/>
            <w:shd w:val="clear" w:color="auto" w:fill="CCEEFF"/>
          </w:tcPr>
          <w:p>
            <w:pPr>
              <w:jc w:val="right"/>
              <w:ind w:right="176"/>
              <w:spacing w:after="0" w:line="150"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20.55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year ended January 31, 2026, the Company recognized $6.2 million of stock-based compensation expense for RSUs with service-only vesting conditions. As of January 31, 2026, there was approximately $58.1 million of unrecognized compensation cost related to these unvested RSUs, which is expected to be recognized over a weighted-average period of 3.6 years. Stock-based compensation expense recognized for RSUs with service-only conditions was not material during the year ended January 31, 2025. No stock-based compensation expense was recognized for RSUs with service-only conditions during the year ended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is included in the following components of expenses within the consolidated statements of operations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57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2024</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49,142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30,408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27,039</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15,872</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28,189</w:t>
            </w:r>
          </w:p>
        </w:tc>
      </w:tr>
      <w:tr>
        <w:trPr>
          <w:trHeight w:val="171"/>
        </w:trPr>
        <w:tc>
          <w:tcPr>
            <w:tcW w:w="5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stock-based compensation expense, net of amounts capitalized</w:t>
            </w:r>
          </w:p>
        </w:tc>
        <w:tc>
          <w:tcPr>
            <w:tcW w:w="1040" w:type="dxa"/>
            <w:vAlign w:val="bottom"/>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76,981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75,851</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Capitalized stock-based compensation</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w:t>
            </w: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cost</w:t>
            </w: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187,022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79,300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76,981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 ended January 31, 2026 , the Company modified certain stock option and RSU awards for certain employees. The modifications provided for accelerated vesting and an extended post-termination exercise period. The Company recognized stock-based compensation expense of $7.9 million during the year ended January 31, 2026 in connection with the modifications.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years ended January 31, 2025 and 2024, the Company modified certain stock option awards in connection with the termination of select former employees. The modifications included accelerated vesting and extension of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years ended January 31, 2025 and 2024 was $2.1 million and $5.0 million, respectively, which was recognized at the modification date.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during the year ended January 31, 2025, the Company modified stock options for 2,254 current employees, one former employee and one member of the Board of Directors by amending the exercise price of the stock options. As a result of the modification, the Company recognized incremental stock-based compensation expense of $6.0 million for vested stock options on the modification date. An additional $7.0 million of incremental stock-based compensation expense will be recognized for unvested stock options over a weighted average period of 2.3 years as of the modification date.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Employee Stock Purchase Plan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Board of Directors adopted, and the Company's stockholders approved, the 2025 Employee Stock Purchase Plan (the “2025 ESPP”), which became effective in connection with the IPO. A total of 5,000,000 shares of Class A common stock were initially reserved for sale under the 2025 ESPP. The number of shares of our Class A common stock reserved for issuance will automatically increase on the first day of each of our 2027 through 2036 fiscal years, by the lesser of (i) 1% of the total number of shares of all classes of our common stock outstanding on the last day of the previous fiscal year or (ii) 5,000,000 shares; provided that before the date of any such increase, the 2025 ESPP’s administrator may determine that such increase will be less than such amount.</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Subject to any limitations contained therein, the 2025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shares to be granted during the initial offering period under the 2025 ESPP was estimated on the date of grant using the following assumptions in the Black-</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Scholes option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00" w:type="dxa"/>
            <w:vAlign w:val="bottom"/>
          </w:tcPr>
          <w:p>
            <w:pPr>
              <w:spacing w:after="0"/>
              <w:rPr>
                <w:sz w:val="13"/>
                <w:szCs w:val="13"/>
                <w:color w:val="auto"/>
              </w:rPr>
            </w:pPr>
          </w:p>
        </w:tc>
        <w:tc>
          <w:tcPr>
            <w:tcW w:w="258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Year Ended January 31,</w:t>
            </w:r>
          </w:p>
        </w:tc>
      </w:tr>
      <w:tr>
        <w:trPr>
          <w:trHeight w:val="150"/>
        </w:trPr>
        <w:tc>
          <w:tcPr>
            <w:tcW w:w="8700" w:type="dxa"/>
            <w:vAlign w:val="bottom"/>
            <w:tcBorders>
              <w:bottom w:val="single" w:sz="8" w:color="CCEEFF"/>
            </w:tcBorders>
          </w:tcPr>
          <w:p>
            <w:pPr>
              <w:spacing w:after="0"/>
              <w:rPr>
                <w:sz w:val="13"/>
                <w:szCs w:val="13"/>
                <w:color w:val="auto"/>
              </w:rPr>
            </w:pPr>
          </w:p>
        </w:tc>
        <w:tc>
          <w:tcPr>
            <w:tcW w:w="2580" w:type="dxa"/>
            <w:vAlign w:val="bottom"/>
            <w:tcBorders>
              <w:bottom w:val="single" w:sz="8" w:color="auto"/>
            </w:tcBorders>
          </w:tcPr>
          <w:p>
            <w:pPr>
              <w:jc w:val="right"/>
              <w:ind w:right="1094"/>
              <w:spacing w:after="0"/>
              <w:rPr>
                <w:sz w:val="20"/>
                <w:szCs w:val="20"/>
                <w:color w:val="auto"/>
              </w:rPr>
            </w:pPr>
            <w:r>
              <w:rPr>
                <w:rFonts w:ascii="Arial" w:cs="Arial" w:eastAsia="Arial" w:hAnsi="Arial"/>
                <w:sz w:val="11"/>
                <w:szCs w:val="11"/>
                <w:b w:val="1"/>
                <w:bCs w:val="1"/>
                <w:color w:val="auto"/>
              </w:rPr>
              <w:t>2026</w:t>
            </w:r>
          </w:p>
        </w:tc>
      </w:tr>
      <w:tr>
        <w:trPr>
          <w:trHeight w:val="171"/>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2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 - 50.93%</w:t>
            </w:r>
          </w:p>
        </w:tc>
      </w:tr>
      <w:tr>
        <w:trPr>
          <w:trHeight w:val="180"/>
        </w:trPr>
        <w:tc>
          <w:tcPr>
            <w:tcW w:w="87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2580" w:type="dxa"/>
            <w:vAlign w:val="bottom"/>
          </w:tcPr>
          <w:p>
            <w:pPr>
              <w:jc w:val="right"/>
              <w:spacing w:after="0"/>
              <w:rPr>
                <w:sz w:val="20"/>
                <w:szCs w:val="20"/>
                <w:color w:val="auto"/>
              </w:rPr>
            </w:pPr>
            <w:r>
              <w:rPr>
                <w:rFonts w:ascii="Arial" w:cs="Arial" w:eastAsia="Arial" w:hAnsi="Arial"/>
                <w:sz w:val="14"/>
                <w:szCs w:val="14"/>
                <w:color w:val="auto"/>
              </w:rPr>
              <w:t>3.66% - 3.79%</w:t>
            </w:r>
          </w:p>
        </w:tc>
      </w:tr>
      <w:tr>
        <w:trPr>
          <w:trHeight w:val="180"/>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2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0.59 - 1.10</w:t>
            </w:r>
          </w:p>
        </w:tc>
      </w:tr>
      <w:tr>
        <w:trPr>
          <w:trHeight w:val="186"/>
        </w:trPr>
        <w:tc>
          <w:tcPr>
            <w:tcW w:w="870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5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recognized $0.5 million of stock-based compensation expense related to the ESPP during the year ended January 31, 2026. As of January 31, 2026, total unrecognized stock-based compensation expense related to the ESPP was $1.7 million, which will be amortized over a period of 0.7 years.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no shares were purchased under the 2025 ESPP.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STOCKHOLDERS’ EQUITY (DEFICIT)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Convertible Preferred Stock</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Immediately prior to the completion of the Company’s IPO, all of the Company’s then-outstanding shares of redeemable convertible preferred stock were automatically converted into 146,599,125 shares of voting common stock and, in connection with the IPO, all shares of voting common stock underlying the redeemable convertible preferred stock were reclassified into an equivalent number of shares of Class A common stock.</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Company’s IPO, the restated certificate became effective, which authorized the issuance of 20,000,000 shares of preferred stock with a par value of $0.00000625 per share with rights and preferences, including voting rights, designated from time to time by the Board of Directors.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tables summarize the Company’s outstanding redeemable convertible preferred stock (collectively, the “Preferred Stock”, as of January 31, 2025 and prior to the completion of the Company’s IPO, (in thousands, except price per share amounts and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As of January 31, 2025</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16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Shares</w:t>
            </w:r>
          </w:p>
        </w:tc>
        <w:tc>
          <w:tcPr>
            <w:tcW w:w="1580" w:type="dxa"/>
            <w:vAlign w:val="bottom"/>
          </w:tcPr>
          <w:p>
            <w:pPr>
              <w:jc w:val="right"/>
              <w:ind w:right="211"/>
              <w:spacing w:after="0" w:line="108" w:lineRule="exact"/>
              <w:rPr>
                <w:sz w:val="20"/>
                <w:szCs w:val="20"/>
                <w:color w:val="auto"/>
              </w:rPr>
            </w:pPr>
            <w:r>
              <w:rPr>
                <w:rFonts w:ascii="Arial" w:cs="Arial" w:eastAsia="Arial" w:hAnsi="Arial"/>
                <w:sz w:val="11"/>
                <w:szCs w:val="11"/>
                <w:b w:val="1"/>
                <w:bCs w:val="1"/>
                <w:color w:val="auto"/>
              </w:rPr>
              <w:t>Shares Issued and</w:t>
            </w:r>
          </w:p>
        </w:tc>
        <w:tc>
          <w:tcPr>
            <w:tcW w:w="80" w:type="dxa"/>
            <w:vAlign w:val="bottom"/>
          </w:tcPr>
          <w:p>
            <w:pPr>
              <w:spacing w:after="0"/>
              <w:rPr>
                <w:sz w:val="9"/>
                <w:szCs w:val="9"/>
                <w:color w:val="auto"/>
              </w:rPr>
            </w:pPr>
          </w:p>
        </w:tc>
        <w:tc>
          <w:tcPr>
            <w:tcW w:w="16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rPr>
              <w:t>Original Issuance Price Per</w:t>
            </w:r>
          </w:p>
        </w:tc>
        <w:tc>
          <w:tcPr>
            <w:tcW w:w="280" w:type="dxa"/>
            <w:vAlign w:val="bottom"/>
          </w:tcPr>
          <w:p>
            <w:pPr>
              <w:spacing w:after="0"/>
              <w:rPr>
                <w:sz w:val="9"/>
                <w:szCs w:val="9"/>
                <w:color w:val="auto"/>
              </w:rPr>
            </w:pPr>
          </w:p>
        </w:tc>
        <w:tc>
          <w:tcPr>
            <w:tcW w:w="1380" w:type="dxa"/>
            <w:vAlign w:val="bottom"/>
            <w:gridSpan w:val="2"/>
          </w:tcPr>
          <w:p>
            <w:pPr>
              <w:jc w:val="center"/>
              <w:ind w:right="380"/>
              <w:spacing w:after="0" w:line="108" w:lineRule="exact"/>
              <w:rPr>
                <w:sz w:val="20"/>
                <w:szCs w:val="20"/>
                <w:color w:val="auto"/>
              </w:rPr>
            </w:pPr>
            <w:r>
              <w:rPr>
                <w:rFonts w:ascii="Arial" w:cs="Arial" w:eastAsia="Arial" w:hAnsi="Arial"/>
                <w:sz w:val="11"/>
                <w:szCs w:val="11"/>
                <w:b w:val="1"/>
                <w:bCs w:val="1"/>
                <w:color w:val="auto"/>
              </w:rPr>
              <w:t>Liquidation</w:t>
            </w:r>
          </w:p>
        </w:tc>
        <w:tc>
          <w:tcPr>
            <w:tcW w:w="240" w:type="dxa"/>
            <w:vAlign w:val="bottom"/>
          </w:tcPr>
          <w:p>
            <w:pPr>
              <w:spacing w:after="0"/>
              <w:rPr>
                <w:sz w:val="9"/>
                <w:szCs w:val="9"/>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1"/>
                <w:szCs w:val="11"/>
                <w:b w:val="1"/>
                <w:bCs w:val="1"/>
                <w:color w:val="auto"/>
              </w:rPr>
              <w:t>Carrying Value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Authorized</w:t>
            </w:r>
          </w:p>
        </w:tc>
        <w:tc>
          <w:tcPr>
            <w:tcW w:w="1580" w:type="dxa"/>
            <w:vAlign w:val="bottom"/>
          </w:tcPr>
          <w:p>
            <w:pPr>
              <w:jc w:val="right"/>
              <w:ind w:right="391"/>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Share</w:t>
            </w:r>
          </w:p>
        </w:tc>
        <w:tc>
          <w:tcPr>
            <w:tcW w:w="280" w:type="dxa"/>
            <w:vAlign w:val="bottom"/>
          </w:tcPr>
          <w:p>
            <w:pPr>
              <w:spacing w:after="0"/>
              <w:rPr>
                <w:sz w:val="12"/>
                <w:szCs w:val="12"/>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Seed</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16,934,856</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16,934,839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Series A</w:t>
            </w:r>
          </w:p>
        </w:tc>
        <w:tc>
          <w:tcPr>
            <w:tcW w:w="1560" w:type="dxa"/>
            <w:vAlign w:val="bottom"/>
          </w:tcPr>
          <w:p>
            <w:pPr>
              <w:jc w:val="right"/>
              <w:spacing w:after="0"/>
              <w:rPr>
                <w:sz w:val="20"/>
                <w:szCs w:val="20"/>
                <w:color w:val="auto"/>
              </w:rPr>
            </w:pPr>
            <w:r>
              <w:rPr>
                <w:rFonts w:ascii="Arial" w:cs="Arial" w:eastAsia="Arial" w:hAnsi="Arial"/>
                <w:sz w:val="14"/>
                <w:szCs w:val="14"/>
                <w:color w:val="auto"/>
              </w:rPr>
              <w:t>20,382,688</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20,382,673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10,288</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A-1</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21,353,147</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21,353,143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12,670</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Series B</w:t>
            </w:r>
          </w:p>
        </w:tc>
        <w:tc>
          <w:tcPr>
            <w:tcW w:w="1560" w:type="dxa"/>
            <w:vAlign w:val="bottom"/>
          </w:tcPr>
          <w:p>
            <w:pPr>
              <w:jc w:val="right"/>
              <w:spacing w:after="0"/>
              <w:rPr>
                <w:sz w:val="20"/>
                <w:szCs w:val="20"/>
                <w:color w:val="auto"/>
              </w:rPr>
            </w:pPr>
            <w:r>
              <w:rPr>
                <w:rFonts w:ascii="Arial" w:cs="Arial" w:eastAsia="Arial" w:hAnsi="Arial"/>
                <w:sz w:val="14"/>
                <w:szCs w:val="14"/>
                <w:color w:val="auto"/>
              </w:rPr>
              <w:t>27,505,170</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27,465,006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51,225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51,153</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21,158,278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19,770,427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142,398</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Series C-1</w:t>
            </w:r>
          </w:p>
        </w:tc>
        <w:tc>
          <w:tcPr>
            <w:tcW w:w="1560" w:type="dxa"/>
            <w:vAlign w:val="bottom"/>
          </w:tcPr>
          <w:p>
            <w:pPr>
              <w:jc w:val="right"/>
              <w:spacing w:after="0"/>
              <w:rPr>
                <w:sz w:val="20"/>
                <w:szCs w:val="20"/>
                <w:color w:val="auto"/>
              </w:rPr>
            </w:pPr>
            <w:r>
              <w:rPr>
                <w:rFonts w:ascii="Arial" w:cs="Arial" w:eastAsia="Arial" w:hAnsi="Arial"/>
                <w:sz w:val="14"/>
                <w:szCs w:val="14"/>
                <w:color w:val="auto"/>
              </w:rPr>
              <w:t>1,387,848</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1,387,848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9,996</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12,592,724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12,592,720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279,676</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Series E</w:t>
            </w:r>
          </w:p>
        </w:tc>
        <w:tc>
          <w:tcPr>
            <w:tcW w:w="1560" w:type="dxa"/>
            <w:vAlign w:val="bottom"/>
          </w:tcPr>
          <w:p>
            <w:pPr>
              <w:jc w:val="right"/>
              <w:spacing w:after="0"/>
              <w:rPr>
                <w:sz w:val="20"/>
                <w:szCs w:val="20"/>
                <w:color w:val="auto"/>
              </w:rPr>
            </w:pPr>
            <w:r>
              <w:rPr>
                <w:rFonts w:ascii="Arial" w:cs="Arial" w:eastAsia="Arial" w:hAnsi="Arial"/>
                <w:sz w:val="14"/>
                <w:szCs w:val="14"/>
                <w:color w:val="auto"/>
              </w:rPr>
              <w:t>13,859,852</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13,859,845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362,000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361,700</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F</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8,501,429</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8,501,424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274,827</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Series G</w:t>
            </w:r>
          </w:p>
        </w:tc>
        <w:tc>
          <w:tcPr>
            <w:tcW w:w="1560" w:type="dxa"/>
            <w:vAlign w:val="bottom"/>
          </w:tcPr>
          <w:p>
            <w:pPr>
              <w:jc w:val="right"/>
              <w:spacing w:after="0"/>
              <w:rPr>
                <w:sz w:val="20"/>
                <w:szCs w:val="20"/>
                <w:color w:val="auto"/>
              </w:rPr>
            </w:pPr>
            <w:r>
              <w:rPr>
                <w:rFonts w:ascii="Arial" w:cs="Arial" w:eastAsia="Arial" w:hAnsi="Arial"/>
                <w:sz w:val="14"/>
                <w:szCs w:val="14"/>
                <w:color w:val="auto"/>
              </w:rPr>
              <w:t>8,010,956</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2,670,319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37.45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99,794</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5,340,637</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1,441,963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54,000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53,890</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157,027,585</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146,360,207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1,301,402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1,301,121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there were no shares of redeemable convertible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rights of the holders of Class A common stock and Class B common stock are identical, except with respect to voting and conversion rights. Each share of Class A common stock is entitled to one vote per share. Each share of Class B common stock is entitled to 30 votes per share and is convertible into one share of Class A common stock.</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holders of both Class A and Class B common stock are entitled to receive dividends pro rata, on an equal priority, pari passu basis whenever funds are legally available therefore and when, as, and if declared by the Board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Common stock reserved for issuance as of January 31, 2026 and 2025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bottom w:val="single" w:sz="8" w:color="242424"/>
            </w:tcBorders>
          </w:tcPr>
          <w:p>
            <w:pPr>
              <w:spacing w:after="0"/>
              <w:rPr>
                <w:sz w:val="13"/>
                <w:szCs w:val="13"/>
                <w:color w:val="auto"/>
              </w:rPr>
            </w:pPr>
          </w:p>
        </w:tc>
        <w:tc>
          <w:tcPr>
            <w:tcW w:w="80" w:type="dxa"/>
            <w:vAlign w:val="bottom"/>
            <w:tcBorders>
              <w:bottom w:val="single" w:sz="8" w:color="242424"/>
            </w:tcBorders>
          </w:tcPr>
          <w:p>
            <w:pPr>
              <w:spacing w:after="0"/>
              <w:rPr>
                <w:sz w:val="13"/>
                <w:szCs w:val="13"/>
                <w:color w:val="auto"/>
              </w:rPr>
            </w:pPr>
          </w:p>
        </w:tc>
        <w:tc>
          <w:tcPr>
            <w:tcW w:w="120" w:type="dxa"/>
            <w:vAlign w:val="bottom"/>
            <w:tcBorders>
              <w:bottom w:val="single" w:sz="8" w:color="242424"/>
            </w:tcBorders>
          </w:tcPr>
          <w:p>
            <w:pPr>
              <w:spacing w:after="0"/>
              <w:rPr>
                <w:sz w:val="13"/>
                <w:szCs w:val="13"/>
                <w:color w:val="auto"/>
              </w:rPr>
            </w:pPr>
          </w:p>
        </w:tc>
        <w:tc>
          <w:tcPr>
            <w:tcW w:w="2000" w:type="dxa"/>
            <w:vAlign w:val="bottom"/>
            <w:tcBorders>
              <w:bottom w:val="single" w:sz="8" w:color="242424"/>
            </w:tcBorders>
            <w:gridSpan w:val="5"/>
          </w:tcPr>
          <w:p>
            <w:pPr>
              <w:jc w:val="right"/>
              <w:ind w:right="69"/>
              <w:spacing w:after="0"/>
              <w:rPr>
                <w:sz w:val="20"/>
                <w:szCs w:val="20"/>
                <w:color w:val="auto"/>
              </w:rPr>
            </w:pPr>
            <w:r>
              <w:rPr>
                <w:rFonts w:ascii="Arial" w:cs="Arial" w:eastAsia="Arial" w:hAnsi="Arial"/>
                <w:sz w:val="11"/>
                <w:szCs w:val="11"/>
                <w:b w:val="1"/>
                <w:bCs w:val="1"/>
                <w:color w:val="auto"/>
              </w:rPr>
              <w:t>As of January 31,</w:t>
            </w:r>
          </w:p>
        </w:tc>
        <w:tc>
          <w:tcPr>
            <w:tcW w:w="1100" w:type="dxa"/>
            <w:vAlign w:val="bottom"/>
            <w:tcBorders>
              <w:bottom w:val="single" w:sz="8" w:color="242424"/>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146,360,207</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Stock options issued and outstanding</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39,283,485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40,971,097</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 issued and outstanding</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9,311,201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4,653,847</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Shares of common stock available for future grants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37,811,841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5,486,445</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 warrants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40,160</w:t>
            </w:r>
          </w:p>
        </w:tc>
        <w:tc>
          <w:tcPr>
            <w:tcW w:w="0" w:type="dxa"/>
            <w:vAlign w:val="bottom"/>
          </w:tcPr>
          <w:p>
            <w:pPr>
              <w:spacing w:after="0"/>
              <w:rPr>
                <w:sz w:val="1"/>
                <w:szCs w:val="1"/>
                <w:color w:val="auto"/>
              </w:rPr>
            </w:pP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color w:val="auto"/>
              </w:rPr>
              <w:t>Total common stock reserved for issuance</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86,406,527</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197,511,756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NOTE 12 - INCOME TAXES</w:t>
            </w: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4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400" w:type="dxa"/>
            <w:vAlign w:val="bottom"/>
          </w:tcPr>
          <w:p>
            <w:pPr>
              <w:ind w:left="520"/>
              <w:spacing w:after="0"/>
              <w:rPr>
                <w:sz w:val="20"/>
                <w:szCs w:val="20"/>
                <w:color w:val="auto"/>
              </w:rPr>
            </w:pPr>
            <w:r>
              <w:rPr>
                <w:rFonts w:ascii="Arial" w:cs="Arial" w:eastAsia="Arial" w:hAnsi="Arial"/>
                <w:sz w:val="14"/>
                <w:szCs w:val="14"/>
                <w:color w:val="auto"/>
              </w:rPr>
              <w:t>Loss before income tax expense is as follows (in thousands):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2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(389,326)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(206,209)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(345,485)</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(6,596)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34,701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19,361</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(171,508)</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(326,124)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income tax expense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r>
      <w:tr>
        <w:trPr>
          <w:trHeight w:val="16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6400" w:type="dxa"/>
            <w:vAlign w:val="bottom"/>
          </w:tcPr>
          <w:p>
            <w:pPr>
              <w:ind w:left="140"/>
              <w:spacing w:after="0"/>
              <w:rPr>
                <w:sz w:val="20"/>
                <w:szCs w:val="20"/>
                <w:color w:val="auto"/>
              </w:rPr>
            </w:pPr>
            <w:r>
              <w:rPr>
                <w:rFonts w:ascii="Arial" w:cs="Arial" w:eastAsia="Arial" w:hAnsi="Arial"/>
                <w:sz w:val="14"/>
                <w:szCs w:val="14"/>
                <w:color w:val="auto"/>
              </w:rPr>
              <w:t>Federal</w:t>
            </w: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8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8,751</w:t>
            </w: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tax expense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Deferred:</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Pr>
          <w:p>
            <w:pPr>
              <w:ind w:left="140"/>
              <w:spacing w:after="0"/>
              <w:rPr>
                <w:sz w:val="20"/>
                <w:szCs w:val="20"/>
                <w:color w:val="auto"/>
              </w:rPr>
            </w:pPr>
            <w:r>
              <w:rPr>
                <w:rFonts w:ascii="Arial" w:cs="Arial" w:eastAsia="Arial" w:hAnsi="Arial"/>
                <w:sz w:val="14"/>
                <w:szCs w:val="14"/>
                <w:color w:val="auto"/>
              </w:rPr>
              <w:t>State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8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w:t>
            </w:r>
          </w:p>
        </w:tc>
      </w:tr>
      <w:tr>
        <w:trPr>
          <w:trHeight w:val="171"/>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expense (benefit)</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(3,224)</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tax expense</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years ended January 31, 2026 and 2025, certain non-US earnings that could be distributed tax efficiently have not been permanently reinvested where earned. As of January 31, 2026 and 2025, the Company’s deferred tax liability for additional taxes that would be incurred upon repatriation of the earnings that are no longer permanently reinvested was not material.</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income tax expense differs from the amount computed by applying the federal statutory income tax rate to income before taxes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92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(171,508)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(326,124)</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Expected tax benefit at Federal Rate of 21%</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(83,144)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(36,017)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(68,486)</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taxes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Taxes on foreign earnings</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Disallowed interest on debt</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31,749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11,082</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credits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Effects of cross-border tax laws</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343</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8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tax expense</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net deferred tax assets and liabilities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94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2025</w:t>
            </w: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9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806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92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222,333</w:t>
            </w:r>
          </w:p>
        </w:tc>
        <w:tc>
          <w:tcPr>
            <w:tcW w:w="10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211,217</w:t>
            </w:r>
          </w:p>
        </w:tc>
      </w:tr>
      <w:tr>
        <w:trPr>
          <w:trHeight w:val="180"/>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 credits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18,156</w:t>
            </w:r>
          </w:p>
        </w:tc>
      </w:tr>
      <w:tr>
        <w:trPr>
          <w:trHeight w:val="180"/>
        </w:trPr>
        <w:tc>
          <w:tcPr>
            <w:tcW w:w="8060" w:type="dxa"/>
            <w:vAlign w:val="bottom"/>
          </w:tcPr>
          <w:p>
            <w:pPr>
              <w:ind w:left="140"/>
              <w:spacing w:after="0"/>
              <w:rPr>
                <w:sz w:val="20"/>
                <w:szCs w:val="20"/>
                <w:color w:val="auto"/>
              </w:rPr>
            </w:pPr>
            <w:r>
              <w:rPr>
                <w:rFonts w:ascii="Arial" w:cs="Arial" w:eastAsia="Arial" w:hAnsi="Arial"/>
                <w:sz w:val="14"/>
                <w:szCs w:val="14"/>
                <w:color w:val="auto"/>
              </w:rPr>
              <w:t>Reserves and accruals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45,349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23,841</w:t>
            </w:r>
          </w:p>
        </w:tc>
      </w:tr>
      <w:tr>
        <w:trPr>
          <w:trHeight w:val="180"/>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180"/>
        </w:trPr>
        <w:tc>
          <w:tcPr>
            <w:tcW w:w="8060" w:type="dxa"/>
            <w:vAlign w:val="bottom"/>
          </w:tcPr>
          <w:p>
            <w:pPr>
              <w:ind w:left="140"/>
              <w:spacing w:after="0"/>
              <w:rPr>
                <w:sz w:val="20"/>
                <w:szCs w:val="20"/>
                <w:color w:val="auto"/>
              </w:rPr>
            </w:pPr>
            <w:r>
              <w:rPr>
                <w:rFonts w:ascii="Arial" w:cs="Arial" w:eastAsia="Arial" w:hAnsi="Arial"/>
                <w:sz w:val="14"/>
                <w:szCs w:val="14"/>
                <w:color w:val="auto"/>
              </w:rPr>
              <w:t>Capitalized research and development costs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57,838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52,012</w:t>
            </w:r>
          </w:p>
        </w:tc>
      </w:tr>
      <w:tr>
        <w:trPr>
          <w:trHeight w:val="180"/>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r>
      <w:tr>
        <w:trPr>
          <w:trHeight w:val="18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36,764</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41,834</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392,749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359,771</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Valuation allowance</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(369,044)</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(336,627)</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23,144</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(10,499)</w:t>
            </w:r>
          </w:p>
        </w:tc>
      </w:tr>
      <w:tr>
        <w:trPr>
          <w:trHeight w:val="180"/>
        </w:trPr>
        <w:tc>
          <w:tcPr>
            <w:tcW w:w="8060" w:type="dxa"/>
            <w:vAlign w:val="bottom"/>
          </w:tcPr>
          <w:p>
            <w:pPr>
              <w:ind w:left="140"/>
              <w:spacing w:after="0"/>
              <w:rPr>
                <w:sz w:val="20"/>
                <w:szCs w:val="20"/>
                <w:color w:val="auto"/>
              </w:rPr>
            </w:pPr>
            <w:r>
              <w:rPr>
                <w:rFonts w:ascii="Arial" w:cs="Arial" w:eastAsia="Arial" w:hAnsi="Arial"/>
                <w:sz w:val="14"/>
                <w:szCs w:val="14"/>
                <w:color w:val="auto"/>
              </w:rPr>
              <w:t>Reserves and accruals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(13,164)</w:t>
            </w:r>
          </w:p>
        </w:tc>
      </w:tr>
      <w:tr>
        <w:trPr>
          <w:trHeight w:val="18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liabilities</w:t>
            </w:r>
          </w:p>
        </w:tc>
        <w:tc>
          <w:tcPr>
            <w:tcW w:w="9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(13,487)</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(24,329)</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Total net deferred tax assets (liabilities)</w:t>
            </w:r>
          </w:p>
        </w:tc>
        <w:tc>
          <w:tcPr>
            <w:tcW w:w="9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10,218</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assessing the realization of deferred tax assets, management considers whether it is more likely than not that some portion or all the deferred assets will be realized. The ultimate realization of deferred tax assets is dependent upon the generation of future taxable income during the periods in which those temporary differences become deductible. Based on the available objective evidence, the Company believes it is more likely than not that a portion of its net deferred tax assets may not be realized in the future. Accordingly, the Company established a full valuation allowance against its U.S. federal, certain states, and certain foreign deferred tax assets. The gross change in the total valuation allowance for the years ended January 31, 2026, 2025, and 2024 was an increase of approximately $32.4 million, $39.1 million, and $69.9 million respectively.</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July 4, 2025, the U.S. government enacted the H.R.1 Reconciliation Act, commonly referred to as the One Big Beautiful Bill Act (the “OBBBA”). OBBBA includes, among other provisions, changes to the U.S. corporate income tax system including the allowance of immediate expensing of qualifying research and development expenses and permanent extensions of certain provisions within the Tax Cuts and Jobs Act. The provisions enacted by OBBBA did not result in a material impact to our provision for income taxes for the year ended January 31, 2026.</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January 31, 2026, the Company had approximately $841.5 million of federal, $702.2 million of state, and $19.8 million of foreign net operating loss carryforwards as reported on our tax returns available to reduce future taxable income. Of the $841.5 million federal net operating loss carryforwards, $826.4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2026, the Company also had federal and state research and development tax credit carryforwards as reported on our tax returns of approximately $17.0 million and $ 13.2 million, respectively. The federal tax credits will expire at various dates beginning in 2036, unless utilized. The state tax credits do not expire and will carry forward indefinitely until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January 31, 2025, the Company had approximately $805.0 million of federal, $628.6 million of state, and $20.0 million of foreign net operating loss carryforwards as reported on our tax returns available to reduce future taxable income. Of the $805.0 million federal net operating loss carryforwards, $789.9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2025, the Company also had federal and state research and development tax credit carryforwards as reported on our tax returns of approximately $15.5 million and $ 11.1 million, respectively. The federal tax credits will expire at various dates beginning in 2036, unless utilized. The state tax credits do not expire and will carry forward indefinitely until utilized.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Federal and state tax laws impose substantial restrictions on the utilization of the net operating loss and credit carryforwards in the event of an ownership change as defined in Section 382 of the Internal Revenue Code. Accordingly, the Company’s ability to utilize these carryforwards may be limited as a result of such ownership change.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 Subsequent ownership changes in respect to these tax attributes may further affect the limitation in future years.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recognizes uncertain tax positions in the consolidated financial statements if that position is more likely than not of being sustained upon audit, based on the technical merits of the position. In the preparation of income tax returns in federal, foreign, and state jurisdictions, the Company asserts certain tax positions based on its understanding and interpretation of income tax laws. The taxing authorities may challenge such positions, and the resolution of such matters could result in recognition of income tax expense in the Company’s consolidated financial statements. As of January 31, 2026, 2025 and 2024, the Company had unrecognized tax benefits of $10.9 million, $9.5 million, and $8.8 million, respectively, of which $2.3 million, $1.9 million, and $2.4 million, respectively, if recognized, would favorably impact the effective tax rate.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aggregate changes in the Company’s total gross amount of unrecognized tax benefits are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00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7,477</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Additions based on tax position related to the current year</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1,521</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 for tax positions for the prior year</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Decrease related to prior year tax positions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(386)</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related to expiration of statute of limitations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0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8,783</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includes interest and penalties related to unrecognized tax benefits through income tax expense. As of January 31, 2026 and 2025, the amount of accrued interest and penalties related to uncertain tax positions was $0.6 million and $0.4 million.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files federal, state, and foreign tax returns with varying statutes of limitations. The tax years since inception of the Company in 2015 remain open to examination due to the carryover of unused net operating losses and tax credits.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Obligations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January 31, 2026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4"/>
          </w:tcPr>
          <w:p>
            <w:pPr>
              <w:jc w:val="center"/>
              <w:ind w:left="839"/>
              <w:spacing w:after="0"/>
              <w:rPr>
                <w:sz w:val="20"/>
                <w:szCs w:val="20"/>
                <w:color w:val="auto"/>
              </w:rPr>
            </w:pPr>
            <w:r>
              <w:rPr>
                <w:rFonts w:ascii="Arial" w:cs="Arial" w:eastAsia="Arial" w:hAnsi="Arial"/>
                <w:sz w:val="11"/>
                <w:szCs w:val="11"/>
                <w:b w:val="1"/>
                <w:bCs w:val="1"/>
                <w:color w:val="auto"/>
              </w:rPr>
              <w:t>Payments Due By Period as of January 31, 2026</w:t>
            </w:r>
          </w:p>
        </w:tc>
        <w:tc>
          <w:tcPr>
            <w:tcW w:w="1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50"/>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1380" w:type="dxa"/>
            <w:vAlign w:val="bottom"/>
          </w:tcPr>
          <w:p>
            <w:pPr>
              <w:jc w:val="right"/>
              <w:ind w:right="299"/>
              <w:spacing w:after="0"/>
              <w:rPr>
                <w:sz w:val="20"/>
                <w:szCs w:val="20"/>
                <w:color w:val="auto"/>
              </w:rPr>
            </w:pPr>
            <w:r>
              <w:rPr>
                <w:rFonts w:ascii="Arial" w:cs="Arial" w:eastAsia="Arial" w:hAnsi="Arial"/>
                <w:sz w:val="11"/>
                <w:szCs w:val="11"/>
                <w:b w:val="1"/>
                <w:bCs w:val="1"/>
                <w:color w:val="auto"/>
              </w:rPr>
              <w:t>Less than 1 Year</w:t>
            </w:r>
          </w:p>
        </w:tc>
        <w:tc>
          <w:tcPr>
            <w:tcW w:w="360" w:type="dxa"/>
            <w:vAlign w:val="bottom"/>
          </w:tcPr>
          <w:p>
            <w:pPr>
              <w:spacing w:after="0"/>
              <w:rPr>
                <w:sz w:val="13"/>
                <w:szCs w:val="13"/>
                <w:color w:val="auto"/>
              </w:rPr>
            </w:pPr>
          </w:p>
        </w:tc>
        <w:tc>
          <w:tcPr>
            <w:tcW w:w="1300" w:type="dxa"/>
            <w:vAlign w:val="bottom"/>
          </w:tcPr>
          <w:p>
            <w:pPr>
              <w:jc w:val="center"/>
              <w:ind w:right="276"/>
              <w:spacing w:after="0"/>
              <w:rPr>
                <w:sz w:val="20"/>
                <w:szCs w:val="20"/>
                <w:color w:val="auto"/>
              </w:rPr>
            </w:pPr>
            <w:r>
              <w:rPr>
                <w:rFonts w:ascii="Arial" w:cs="Arial" w:eastAsia="Arial" w:hAnsi="Arial"/>
                <w:sz w:val="11"/>
                <w:szCs w:val="11"/>
                <w:b w:val="1"/>
                <w:bCs w:val="1"/>
                <w:color w:val="auto"/>
              </w:rPr>
              <w:t>1 - 3 Years</w:t>
            </w:r>
          </w:p>
        </w:tc>
        <w:tc>
          <w:tcPr>
            <w:tcW w:w="52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1"/>
                <w:szCs w:val="11"/>
                <w:b w:val="1"/>
                <w:bCs w:val="1"/>
                <w:color w:val="auto"/>
              </w:rPr>
              <w:t>3 - 5 Years</w:t>
            </w:r>
          </w:p>
        </w:tc>
        <w:tc>
          <w:tcPr>
            <w:tcW w:w="1380" w:type="dxa"/>
            <w:vAlign w:val="bottom"/>
          </w:tcPr>
          <w:p>
            <w:pPr>
              <w:ind w:left="120"/>
              <w:spacing w:after="0"/>
              <w:rPr>
                <w:sz w:val="20"/>
                <w:szCs w:val="20"/>
                <w:color w:val="auto"/>
              </w:rPr>
            </w:pPr>
            <w:r>
              <w:rPr>
                <w:rFonts w:ascii="Arial" w:cs="Arial" w:eastAsia="Arial" w:hAnsi="Arial"/>
                <w:sz w:val="11"/>
                <w:szCs w:val="11"/>
                <w:b w:val="1"/>
                <w:bCs w:val="1"/>
                <w:color w:val="auto"/>
              </w:rPr>
              <w:t>More than 5 Years</w:t>
            </w:r>
          </w:p>
        </w:tc>
      </w:tr>
      <w:tr>
        <w:trPr>
          <w:trHeight w:val="171"/>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obligations</w:t>
            </w: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39,575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rPr>
              <w:t>18,922</w:t>
            </w:r>
          </w:p>
        </w:tc>
        <w:tc>
          <w:tcPr>
            <w:tcW w:w="36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20,653</w:t>
            </w:r>
          </w:p>
        </w:tc>
        <w:tc>
          <w:tcPr>
            <w:tcW w:w="52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  $</w:t>
            </w:r>
          </w:p>
        </w:tc>
        <w:tc>
          <w:tcPr>
            <w:tcW w:w="138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is currently involved in, and may in the future be involved in, legal proceedings and administrative proceedings, disputes or claims. The Company records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 and Derivative Litigation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February 23, 2026, a putative securities class action complaint was filed against the Company, its directors and certain of its current and former executive officers (collectively, the “Defendants”) in the U.S. District Court for the Northern District of California. The lawsuit alleges that the Defendants violated the Securities Act of 1933, as amended, by making materially false and misleading statements about our sales and marketing expenses in our IPO offering documents. Motions for the lead plaintiff are due April 24, 2026. The Company intends to vigorously defend itself. Given the recent filing of the lawsuit, the Company cannot estimate a possible loss as of January 31, 2026.</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Repayment of Government Grants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2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During the year ended January 31, 2023, the Company received a tentative payment schedule from the Dutch government. The NOW Scheme liability balances as of January 31, 2026 and 2025, and the changes during the year ended January 31, 2026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Carrying Amount</w:t>
            </w:r>
          </w:p>
        </w:tc>
      </w:tr>
      <w:tr>
        <w:trPr>
          <w:trHeight w:val="17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2025</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w:t>
            </w:r>
          </w:p>
        </w:tc>
      </w:tr>
      <w:tr>
        <w:trPr>
          <w:trHeight w:val="180"/>
        </w:trPr>
        <w:tc>
          <w:tcPr>
            <w:tcW w:w="9600" w:type="dxa"/>
            <w:vAlign w:val="bottom"/>
          </w:tcPr>
          <w:p>
            <w:pPr>
              <w:ind w:left="180"/>
              <w:spacing w:after="0"/>
              <w:rPr>
                <w:sz w:val="20"/>
                <w:szCs w:val="20"/>
                <w:color w:val="auto"/>
              </w:rPr>
            </w:pPr>
            <w:r>
              <w:rPr>
                <w:rFonts w:ascii="Arial" w:cs="Arial" w:eastAsia="Arial" w:hAnsi="Arial"/>
                <w:sz w:val="14"/>
                <w:szCs w:val="14"/>
                <w:color w:val="auto"/>
              </w:rPr>
              <w:t>Repayments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impact</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r>
      <w:tr>
        <w:trPr>
          <w:trHeight w:val="171"/>
        </w:trPr>
        <w:tc>
          <w:tcPr>
            <w:tcW w:w="9600" w:type="dxa"/>
            <w:vAlign w:val="bottom"/>
          </w:tcPr>
          <w:p>
            <w:pPr>
              <w:ind w:left="20"/>
              <w:spacing w:after="0"/>
              <w:rPr>
                <w:sz w:val="20"/>
                <w:szCs w:val="20"/>
                <w:color w:val="auto"/>
              </w:rPr>
            </w:pPr>
            <w:r>
              <w:rPr>
                <w:rFonts w:ascii="Arial" w:cs="Arial" w:eastAsia="Arial" w:hAnsi="Arial"/>
                <w:sz w:val="14"/>
                <w:szCs w:val="14"/>
                <w:color w:val="auto"/>
              </w:rPr>
              <w:t>Balance as of January 31, 2026</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4,919</w:t>
            </w:r>
          </w:p>
        </w:tc>
      </w:tr>
      <w:tr>
        <w:trPr>
          <w:trHeight w:val="180"/>
        </w:trPr>
        <w:tc>
          <w:tcPr>
            <w:tcW w:w="9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balance in accrued expenses and other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71"/>
        </w:trPr>
        <w:tc>
          <w:tcPr>
            <w:tcW w:w="9600" w:type="dxa"/>
            <w:vAlign w:val="bottom"/>
          </w:tcPr>
          <w:p>
            <w:pPr>
              <w:ind w:left="20"/>
              <w:spacing w:after="0"/>
              <w:rPr>
                <w:sz w:val="20"/>
                <w:szCs w:val="20"/>
                <w:color w:val="auto"/>
              </w:rPr>
            </w:pPr>
            <w:r>
              <w:rPr>
                <w:rFonts w:ascii="Arial" w:cs="Arial" w:eastAsia="Arial" w:hAnsi="Arial"/>
                <w:sz w:val="14"/>
                <w:szCs w:val="14"/>
                <w:color w:val="auto"/>
              </w:rPr>
              <w:t>Balance in other non-current liabilities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4,338</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the Company’s application for relief is still under review with the governmental authorities.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EMPLOYEE BENEFIT PLAN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sponsors a 401(k) defined contribution retirement plan (the “401(k) Plan”) covering certain U.S. employees. Participants may contribute a portion of their compensation to the 401(k) Plan, subject to limitations under the Internal Revenue Code. During the year ended January 31, 2024, the Company paused 401(k) Plan matching contributions for employees. The Company also maintains certain other defined contribution plans outside of the United States, for which it provides contributions for participating employees in the regions in which matching contributions is applicable. The Company’s contributions for all defined contribution retirement plans was $8.2 million, $6.1 million, and $7.4 million for the years ended January 31, 2026, 2025, and 2024,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NET LOSS PER SHARE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rights, including the liquidation and dividend rights, of the holders of Class A and Class B common stock are identical, except with respect to voting and conversion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net loss per share attributable to common stockholders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(331,552)</w:t>
            </w:r>
          </w:p>
        </w:tc>
        <w:tc>
          <w:tcPr>
            <w:tcW w:w="0" w:type="dxa"/>
            <w:vAlign w:val="bottom"/>
          </w:tcPr>
          <w:p>
            <w:pPr>
              <w:spacing w:after="0"/>
              <w:rPr>
                <w:sz w:val="1"/>
                <w:szCs w:val="1"/>
                <w:color w:val="auto"/>
              </w:rPr>
            </w:pPr>
          </w:p>
        </w:tc>
      </w:tr>
      <w:tr>
        <w:trPr>
          <w:trHeight w:val="138"/>
        </w:trPr>
        <w:tc>
          <w:tcPr>
            <w:tcW w:w="6400" w:type="dxa"/>
            <w:vAlign w:val="bottom"/>
          </w:tcPr>
          <w:p>
            <w:pPr>
              <w:ind w:left="20"/>
              <w:spacing w:after="0" w:line="138" w:lineRule="exact"/>
              <w:rPr>
                <w:sz w:val="20"/>
                <w:szCs w:val="20"/>
                <w:color w:val="auto"/>
              </w:rPr>
            </w:pPr>
            <w:r>
              <w:rPr>
                <w:rFonts w:ascii="Arial" w:cs="Arial" w:eastAsia="Arial" w:hAnsi="Arial"/>
                <w:sz w:val="14"/>
                <w:szCs w:val="14"/>
                <w:color w:val="auto"/>
              </w:rPr>
              <w:t>Weighted-average shares outstanding used to compute net loss per share attributable to common</w:t>
            </w: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97,795,703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45,271,666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44,583,919</w:t>
            </w:r>
          </w:p>
        </w:tc>
        <w:tc>
          <w:tcPr>
            <w:tcW w:w="0" w:type="dxa"/>
            <w:vAlign w:val="bottom"/>
          </w:tcPr>
          <w:p>
            <w:pPr>
              <w:spacing w:after="0"/>
              <w:rPr>
                <w:sz w:val="1"/>
                <w:szCs w:val="1"/>
                <w:color w:val="auto"/>
              </w:rPr>
            </w:pPr>
          </w:p>
        </w:tc>
      </w:tr>
      <w:tr>
        <w:trPr>
          <w:trHeight w:val="191"/>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stockholders, basic and diluted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years ended January 31, 2026,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common stockholders for the periods presented because including them would have been antidilutive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As of January 31,</w:t>
            </w:r>
          </w:p>
        </w:tc>
        <w:tc>
          <w:tcPr>
            <w:tcW w:w="156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shares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146,360,207</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146,360,207</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Stock options issued and outstanding</w:t>
            </w:r>
          </w:p>
        </w:tc>
        <w:tc>
          <w:tcPr>
            <w:tcW w:w="1580" w:type="dxa"/>
            <w:vAlign w:val="bottom"/>
          </w:tcPr>
          <w:p>
            <w:pPr>
              <w:jc w:val="right"/>
              <w:spacing w:after="0"/>
              <w:rPr>
                <w:sz w:val="20"/>
                <w:szCs w:val="20"/>
                <w:color w:val="auto"/>
              </w:rPr>
            </w:pPr>
            <w:r>
              <w:rPr>
                <w:rFonts w:ascii="Arial" w:cs="Arial" w:eastAsia="Arial" w:hAnsi="Arial"/>
                <w:sz w:val="14"/>
                <w:szCs w:val="14"/>
                <w:color w:val="auto"/>
              </w:rPr>
              <w:t>39,283,485</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40,971,097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41,769,970</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 issued and outstanding</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9,311,201</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4,653,847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948,938</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ESPP</w:t>
            </w:r>
          </w:p>
        </w:tc>
        <w:tc>
          <w:tcPr>
            <w:tcW w:w="1580" w:type="dxa"/>
            <w:vAlign w:val="bottom"/>
          </w:tcPr>
          <w:p>
            <w:pPr>
              <w:jc w:val="right"/>
              <w:spacing w:after="0"/>
              <w:rPr>
                <w:sz w:val="20"/>
                <w:szCs w:val="20"/>
                <w:color w:val="auto"/>
              </w:rPr>
            </w:pPr>
            <w:r>
              <w:rPr>
                <w:rFonts w:ascii="Arial" w:cs="Arial" w:eastAsia="Arial" w:hAnsi="Arial"/>
                <w:sz w:val="14"/>
                <w:szCs w:val="14"/>
                <w:color w:val="auto"/>
              </w:rPr>
              <w:t>819,987</w:t>
            </w:r>
          </w:p>
        </w:tc>
        <w:tc>
          <w:tcPr>
            <w:tcW w:w="8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redeemable convertible preferred stock</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40,160</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Shares of common stock subject to repurchase</w:t>
            </w:r>
          </w:p>
        </w:tc>
        <w:tc>
          <w:tcPr>
            <w:tcW w:w="1580" w:type="dxa"/>
            <w:vAlign w:val="bottom"/>
          </w:tcPr>
          <w:p>
            <w:pPr>
              <w:jc w:val="right"/>
              <w:spacing w:after="0"/>
              <w:rPr>
                <w:sz w:val="20"/>
                <w:szCs w:val="20"/>
                <w:color w:val="auto"/>
              </w:rPr>
            </w:pPr>
            <w:r>
              <w:rPr>
                <w:rFonts w:ascii="Arial" w:cs="Arial" w:eastAsia="Arial" w:hAnsi="Arial"/>
                <w:sz w:val="14"/>
                <w:szCs w:val="14"/>
                <w:color w:val="auto"/>
              </w:rPr>
              <w:t>5,284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49,761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133,332</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12,946,170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13,980,833</w:t>
            </w: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color w:val="auto"/>
              </w:rPr>
              <w:t>Total antidilutive securities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49,419,957</w:t>
            </w:r>
          </w:p>
        </w:tc>
        <w:tc>
          <w:tcPr>
            <w:tcW w:w="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205,021,242</w:t>
            </w:r>
          </w:p>
        </w:tc>
        <w:tc>
          <w:tcPr>
            <w:tcW w:w="1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203,233,440</w:t>
            </w:r>
          </w:p>
        </w:tc>
      </w:tr>
      <w:tr>
        <w:trPr>
          <w:trHeight w:val="20"/>
        </w:trPr>
        <w:tc>
          <w:tcPr>
            <w:tcW w:w="6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Based on that evaluation, our principal executive officer and principal financial officer concluded that, as of the end of the period covered by this Annual Report on Form 10-K,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Annual Report on Internal Control Over Financial Reporting</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that occurred during the fourth quarter of the fiscal year ended January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on Effectiveness of Controls and Procedures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quarter ended January 31, 2026, our directors and officers (as defined in Rule 16a-1 (f) under the Exchange Act) adopted or terminated the Rule 10b5-1 trading arrangements (as defined in Item 408(a) of Regulation S-K) described below:</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January 6, 2026, Ariel Cohen, our co-founder, Chief Executive Officer and chairperson of our board of directors, and certain trusts affiliated with Mr. Cohen adopted a trading arrangement intended to satisfy the affirmative defense conditions of Rule 10b5-1(c) that will expire on October 31, 2026. The trading plan provides for the potential sale of (i) up to 225,000 shares of our class A common stock and (ii) up to 433,098 additional shares of our class A common stock issuable upon vesting and settlement of RSUs, excluding any shares withheld by us or sold to satisfy tax withholding obligations arising from the vesting of such RSU awards.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6, 2026, Ilan Twig, our co-founder, Chief Technology Officer, and member of our board of directors, adopted a trading arrangement intended to satisfy the affirmative defense conditions of Rule 10b5-1(c) that will expire on September 30, 2026. The trading plan provides for the potential sale of up to 220,211 shares of our class A common stock issuable upon vesting and settlement of RSUs, excluding any shares withheld by us or sold to satisfy tax withholding obligations arising from the vesting of RSU awards.</w:t>
      </w:r>
    </w:p>
    <w:p>
      <w:pPr>
        <w:spacing w:after="0" w:line="9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January 5, 2026, Michael Sindicich, our President, adopted a trading arrangement intended to satisfy the affirmative defense conditions of Rule 10b5-1(c) that will expire on December 31, 2026. The trading plan provides for the potential sale of (i) up to 33,510 shares of our class A common stock (ii) up to 46,743 additional shares of our class A common stock issuable upon vesting and settlement of RSUs, excluding any shares withheld by us or sold to satisfy tax withholding obligations arising from the vesting of such RSU awards, and (iii) up to 81,272 shares of our common class A common stock subject to stock options previously awarded to Mr. Sindicich and exercisable on or prior to December 31, 2026.</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maintain a Code of Business Conduct and Ethics that is applicable to all our employees, officers and directors. Our Code of Business Conduct and Ethics is available on our Investor Relations website at investors.navan.com under “Governance - Documents and Charters.” We intend to satisfy the disclosure requirement under Item 5.05 of Form 8-K regarding amendments to, or waiver from, a provision of our Global Code of Conduct by posting such information on the website address and location specified above. The inclusion of our website address in this Annual Report on Form 10-K does not include or incorporate by reference into this Annual Report on Form 10-K the information on or accessible through our website.</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adopted insider trading policies and procedures governing the purchase, sale and other dispositions of our securities by directors, officers and employees that are designed to promote compliance with insider trading laws, rules and regulations, as well as procedures designed to further the foregoing purposes. A copy of our insider trading policy is filed with this Annual Report on Form 10-K as Exhibit 19.1.</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remaining information required by this item is incorporated by reference to the definitive Proxy Statement for our 2026 Annual Meeting of Stockholders, which will be filed with the SEC no later than 120 days after January 31, 2026.</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are filed as part of this Annual Report on Form 10-K:</w:t>
      </w:r>
    </w:p>
    <w:p>
      <w:pPr>
        <w:spacing w:after="0" w:line="136" w:lineRule="exact"/>
        <w:rPr>
          <w:sz w:val="20"/>
          <w:szCs w:val="20"/>
          <w:color w:val="auto"/>
        </w:rPr>
      </w:pPr>
    </w:p>
    <w:p>
      <w:pPr>
        <w:ind w:left="500" w:hanging="240"/>
        <w:spacing w:after="0"/>
        <w:tabs>
          <w:tab w:leader="none" w:pos="5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93"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color w:val="auto"/>
        </w:rPr>
        <w:t>The consolidated financial statements are filed as part of this Annual Report on Form 10-K under “Item 8. Financial Statements and Supplementary Data.”</w:t>
      </w:r>
    </w:p>
    <w:p>
      <w:pPr>
        <w:spacing w:after="0" w:line="136" w:lineRule="exact"/>
        <w:rPr>
          <w:rFonts w:ascii="Arial" w:cs="Arial" w:eastAsia="Arial" w:hAnsi="Arial"/>
          <w:sz w:val="14"/>
          <w:szCs w:val="14"/>
          <w:b w:val="1"/>
          <w:bCs w:val="1"/>
          <w:color w:val="auto"/>
        </w:rPr>
      </w:pPr>
    </w:p>
    <w:p>
      <w:pPr>
        <w:ind w:left="500" w:hanging="240"/>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Financial Statement Schedules</w:t>
      </w:r>
    </w:p>
    <w:p>
      <w:pPr>
        <w:spacing w:after="0" w:line="136" w:lineRule="exact"/>
        <w:rPr>
          <w:rFonts w:ascii="Arial" w:cs="Arial" w:eastAsia="Arial" w:hAnsi="Arial"/>
          <w:sz w:val="14"/>
          <w:szCs w:val="14"/>
          <w:color w:val="auto"/>
        </w:rPr>
      </w:pPr>
    </w:p>
    <w:p>
      <w:pPr>
        <w:ind w:left="520"/>
        <w:spacing w:after="0" w:line="290" w:lineRule="auto"/>
        <w:rPr>
          <w:rFonts w:ascii="Arial" w:cs="Arial" w:eastAsia="Arial" w:hAnsi="Arial"/>
          <w:sz w:val="14"/>
          <w:szCs w:val="14"/>
          <w:color w:val="auto"/>
        </w:rPr>
      </w:pPr>
      <w:r>
        <w:rPr>
          <w:rFonts w:ascii="Arial" w:cs="Arial" w:eastAsia="Arial" w:hAnsi="Arial"/>
          <w:sz w:val="14"/>
          <w:szCs w:val="14"/>
          <w:color w:val="auto"/>
        </w:rPr>
        <w:t>All financial statement schedules have been omitted because they are not applicable, not material or the required information is shown in Part II, Item 8 of this Annual Report on Form 10-K.</w:t>
      </w:r>
    </w:p>
    <w:p>
      <w:pPr>
        <w:spacing w:after="0" w:line="24" w:lineRule="exact"/>
        <w:rPr>
          <w:rFonts w:ascii="Arial" w:cs="Arial" w:eastAsia="Arial" w:hAnsi="Arial"/>
          <w:sz w:val="14"/>
          <w:szCs w:val="14"/>
          <w:color w:val="auto"/>
        </w:rPr>
      </w:pPr>
    </w:p>
    <w:p>
      <w:pPr>
        <w:ind w:left="500" w:hanging="240"/>
        <w:spacing w:after="0"/>
        <w:tabs>
          <w:tab w:leader="none" w:pos="5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72"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color w:val="auto"/>
        </w:rPr>
        <w:t>The exhibits listed in the following Exhibit Index are filed, furnished, or incorporated by reference as part of this Annual Report on Form 10-K.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00" w:type="dxa"/>
            <w:vAlign w:val="bottom"/>
            <w:gridSpan w:val="6"/>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520" w:type="dxa"/>
            <w:vAlign w:val="bottom"/>
            <w:gridSpan w:val="13"/>
            <w:vMerge w:val="restart"/>
          </w:tcPr>
          <w:p>
            <w:pPr>
              <w:ind w:left="800"/>
              <w:spacing w:after="0"/>
              <w:rPr>
                <w:sz w:val="20"/>
                <w:szCs w:val="20"/>
                <w:color w:val="auto"/>
              </w:rPr>
            </w:pPr>
            <w:r>
              <w:rPr>
                <w:rFonts w:ascii="Arial" w:cs="Arial" w:eastAsia="Arial" w:hAnsi="Arial"/>
                <w:sz w:val="11"/>
                <w:szCs w:val="11"/>
                <w:b w:val="1"/>
                <w:bCs w:val="1"/>
                <w:color w:val="auto"/>
              </w:rPr>
              <w:t>Description of Document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gridSpan w:val="6"/>
          </w:tcPr>
          <w:p>
            <w:pPr>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520" w:type="dxa"/>
            <w:vAlign w:val="bottom"/>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 w:type="dxa"/>
            <w:vAlign w:val="bottom"/>
            <w:tcBorders>
              <w:top w:val="single" w:sz="8" w:color="auto"/>
            </w:tcBorders>
            <w:gridSpan w:val="3"/>
          </w:tcPr>
          <w:p>
            <w:pPr>
              <w:ind w:left="20"/>
              <w:spacing w:after="0" w:line="139" w:lineRule="exact"/>
              <w:rPr>
                <w:rFonts w:ascii="Arial" w:cs="Arial" w:eastAsia="Arial" w:hAnsi="Arial"/>
                <w:sz w:val="14"/>
                <w:szCs w:val="14"/>
                <w:color w:val="0000FF"/>
              </w:rPr>
            </w:pPr>
            <w:hyperlink r:id="rId192">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Borders>
              <w:top w:val="single" w:sz="8" w:color="auto"/>
            </w:tcBorders>
            <w:gridSpan w:val="22"/>
          </w:tcPr>
          <w:p>
            <w:pPr>
              <w:spacing w:after="0" w:line="139" w:lineRule="exact"/>
              <w:rPr>
                <w:rFonts w:ascii="Arial" w:cs="Arial" w:eastAsia="Arial" w:hAnsi="Arial"/>
                <w:sz w:val="14"/>
                <w:szCs w:val="14"/>
                <w:color w:val="0000FF"/>
              </w:rPr>
            </w:pPr>
            <w:hyperlink r:id="rId192">
              <w:r>
                <w:rPr>
                  <w:rFonts w:ascii="Arial" w:cs="Arial" w:eastAsia="Arial" w:hAnsi="Arial"/>
                  <w:sz w:val="14"/>
                  <w:szCs w:val="14"/>
                  <w:color w:val="0000FF"/>
                </w:rPr>
                <w:t>Amended and Restated Certificate of Incorporation of Navan, Inc. (incorporated by reference to Exhibit 3.1 to the Registrant’s Current Report on Form 8-K filed</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4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92">
              <w:r>
                <w:rPr>
                  <w:rFonts w:ascii="Arial" w:cs="Arial" w:eastAsia="Arial" w:hAnsi="Arial"/>
                  <w:sz w:val="14"/>
                  <w:szCs w:val="14"/>
                  <w:color w:val="0000FF"/>
                  <w:w w:val="99"/>
                </w:rPr>
                <w:t>on November 3, 2025).</w:t>
              </w:r>
            </w:hyperlink>
          </w:p>
        </w:tc>
        <w:tc>
          <w:tcPr>
            <w:tcW w:w="8480" w:type="dxa"/>
            <w:vAlign w:val="bottom"/>
            <w:tcBorders>
              <w:top w:val="single" w:sz="8" w:color="0000FF"/>
            </w:tcBorders>
            <w:gridSpan w:val="16"/>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0" w:type="dxa"/>
            <w:vAlign w:val="bottom"/>
            <w:gridSpan w:val="3"/>
          </w:tcPr>
          <w:p>
            <w:pPr>
              <w:ind w:left="20"/>
              <w:spacing w:after="0"/>
              <w:rPr>
                <w:rFonts w:ascii="Arial" w:cs="Arial" w:eastAsia="Arial" w:hAnsi="Arial"/>
                <w:sz w:val="14"/>
                <w:szCs w:val="14"/>
                <w:color w:val="0000FF"/>
              </w:rPr>
            </w:pPr>
            <w:hyperlink r:id="rId193">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3">
              <w:r>
                <w:rPr>
                  <w:rFonts w:ascii="Arial" w:cs="Arial" w:eastAsia="Arial" w:hAnsi="Arial"/>
                  <w:sz w:val="14"/>
                  <w:szCs w:val="14"/>
                  <w:color w:val="0000FF"/>
                </w:rPr>
                <w:t>Amended and Restated Bylaws of Navan, Inc. (incorporated by reference to Exhibit 3.4 to the Registrant’s Registration Statement on Form S-1/A, filed on</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8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193">
              <w:r>
                <w:rPr>
                  <w:rFonts w:ascii="Arial" w:cs="Arial" w:eastAsia="Arial" w:hAnsi="Arial"/>
                  <w:sz w:val="14"/>
                  <w:szCs w:val="14"/>
                  <w:color w:val="0000FF"/>
                </w:rPr>
                <w:t>October 10, 2025).</w:t>
              </w:r>
            </w:hyperlink>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 w:type="dxa"/>
            <w:vAlign w:val="bottom"/>
            <w:gridSpan w:val="3"/>
          </w:tcPr>
          <w:p>
            <w:pPr>
              <w:ind w:left="20"/>
              <w:spacing w:after="0"/>
              <w:rPr>
                <w:rFonts w:ascii="Arial" w:cs="Arial" w:eastAsia="Arial" w:hAnsi="Arial"/>
                <w:sz w:val="14"/>
                <w:szCs w:val="14"/>
                <w:color w:val="0000FF"/>
              </w:rPr>
            </w:pPr>
            <w:hyperlink r:id="rId194">
              <w:r>
                <w:rPr>
                  <w:rFonts w:ascii="Arial" w:cs="Arial" w:eastAsia="Arial" w:hAnsi="Arial"/>
                  <w:sz w:val="14"/>
                  <w:szCs w:val="14"/>
                  <w:color w:val="0000FF"/>
                </w:rPr>
                <w:t>4.</w:t>
              </w:r>
              <w:r>
                <w:rPr>
                  <w:rFonts w:ascii="Arial" w:cs="Arial" w:eastAsia="Arial" w:hAnsi="Arial"/>
                  <w:sz w:val="14"/>
                  <w:szCs w:val="14"/>
                  <w:u w:val="single" w:color="auto"/>
                  <w:color w:val="0000FF"/>
                </w:rPr>
                <w:t>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4">
              <w:r>
                <w:rPr>
                  <w:rFonts w:ascii="Arial" w:cs="Arial" w:eastAsia="Arial" w:hAnsi="Arial"/>
                  <w:sz w:val="14"/>
                  <w:szCs w:val="14"/>
                  <w:color w:val="0000FF"/>
                </w:rPr>
                <w:t>Form of Class A Common Stock Certificate of Navan, Inc. (incorporated by reference to Exhibit 4.1 to the Registrant’s Registration Statement on Form S-1/A,</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2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94">
              <w:r>
                <w:rPr>
                  <w:rFonts w:ascii="Arial" w:cs="Arial" w:eastAsia="Arial" w:hAnsi="Arial"/>
                  <w:sz w:val="14"/>
                  <w:szCs w:val="14"/>
                  <w:color w:val="0000FF"/>
                </w:rPr>
                <w:t>filed on October 10, 2025).</w:t>
              </w:r>
            </w:hyperlink>
          </w:p>
        </w:tc>
        <w:tc>
          <w:tcPr>
            <w:tcW w:w="1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 w:type="dxa"/>
            <w:vAlign w:val="bottom"/>
            <w:gridSpan w:val="3"/>
          </w:tcPr>
          <w:p>
            <w:pPr>
              <w:ind w:left="20"/>
              <w:spacing w:after="0"/>
              <w:rPr>
                <w:rFonts w:ascii="Arial" w:cs="Arial" w:eastAsia="Arial" w:hAnsi="Arial"/>
                <w:sz w:val="14"/>
                <w:szCs w:val="14"/>
                <w:color w:val="0000FF"/>
              </w:rPr>
            </w:pPr>
            <w:hyperlink r:id="rId195">
              <w:r>
                <w:rPr>
                  <w:rFonts w:ascii="Arial" w:cs="Arial" w:eastAsia="Arial" w:hAnsi="Arial"/>
                  <w:sz w:val="14"/>
                  <w:szCs w:val="14"/>
                  <w:color w:val="0000FF"/>
                </w:rPr>
                <w:t>4.</w:t>
              </w:r>
              <w:r>
                <w:rPr>
                  <w:rFonts w:ascii="Arial" w:cs="Arial" w:eastAsia="Arial" w:hAnsi="Arial"/>
                  <w:sz w:val="14"/>
                  <w:szCs w:val="14"/>
                  <w:u w:val="single" w:color="auto"/>
                  <w:color w:val="0000FF"/>
                </w:rPr>
                <w:t>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5">
              <w:r>
                <w:rPr>
                  <w:rFonts w:ascii="Arial" w:cs="Arial" w:eastAsia="Arial" w:hAnsi="Arial"/>
                  <w:sz w:val="14"/>
                  <w:szCs w:val="14"/>
                  <w:color w:val="0000FF"/>
                </w:rPr>
                <w:t>Amended and Restated Investors’ Rights Agreement among TripActions, Inc. (n/k/a/ Navan, Inc.) and certain holders of its capital stock, dated July 28, 2022</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195">
              <w:r>
                <w:rPr>
                  <w:rFonts w:ascii="Arial" w:cs="Arial" w:eastAsia="Arial" w:hAnsi="Arial"/>
                  <w:sz w:val="14"/>
                  <w:szCs w:val="14"/>
                  <w:color w:val="0000FF"/>
                </w:rPr>
                <w:t>(incorporated by reference to Exhibit 4.2 to the Registrant’s Registration Statement on Form S-1 filed on September 19, 2025).</w:t>
              </w:r>
            </w:hyperlink>
          </w:p>
        </w:tc>
        <w:tc>
          <w:tcPr>
            <w:tcW w:w="14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0" w:type="dxa"/>
            <w:vAlign w:val="bottom"/>
            <w:gridSpan w:val="3"/>
          </w:tcPr>
          <w:p>
            <w:pPr>
              <w:ind w:left="20"/>
              <w:spacing w:after="0"/>
              <w:rPr>
                <w:sz w:val="20"/>
                <w:szCs w:val="20"/>
                <w:color w:val="auto"/>
              </w:rPr>
            </w:pPr>
            <w:r>
              <w:rPr>
                <w:rFonts w:ascii="Arial" w:cs="Arial" w:eastAsia="Arial" w:hAnsi="Arial"/>
                <w:sz w:val="14"/>
                <w:szCs w:val="14"/>
                <w:color w:val="0000FF"/>
                <w:w w:val="95"/>
              </w:rPr>
              <w:t>4.</w:t>
            </w:r>
            <w:r>
              <w:rPr>
                <w:rFonts w:ascii="Arial" w:cs="Arial" w:eastAsia="Arial" w:hAnsi="Arial"/>
                <w:sz w:val="14"/>
                <w:szCs w:val="14"/>
                <w:u w:val="single" w:color="auto"/>
                <w:color w:val="0000FF"/>
                <w:w w:val="95"/>
              </w:rPr>
              <w:t>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90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Description of Securities.</w:t>
            </w:r>
          </w:p>
        </w:tc>
        <w:tc>
          <w:tcPr>
            <w:tcW w:w="21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5"/>
          </w:tcPr>
          <w:p>
            <w:pPr>
              <w:ind w:left="20"/>
              <w:spacing w:after="0"/>
              <w:rPr>
                <w:rFonts w:ascii="Arial" w:cs="Arial" w:eastAsia="Arial" w:hAnsi="Arial"/>
                <w:sz w:val="14"/>
                <w:szCs w:val="14"/>
                <w:color w:val="0000FF"/>
              </w:rPr>
            </w:pPr>
            <w:hyperlink r:id="rId196">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6">
              <w:r>
                <w:rPr>
                  <w:rFonts w:ascii="Arial" w:cs="Arial" w:eastAsia="Arial" w:hAnsi="Arial"/>
                  <w:sz w:val="14"/>
                  <w:szCs w:val="14"/>
                  <w:color w:val="0000FF"/>
                </w:rPr>
                <w:t>Exchange Agreement among Navan, Inc., Ariel Cohen, Ilan Twig, and certain other affiliated parties, dated October 29, 2025 (incorporated by reference to</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2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196">
              <w:r>
                <w:rPr>
                  <w:rFonts w:ascii="Arial" w:cs="Arial" w:eastAsia="Arial" w:hAnsi="Arial"/>
                  <w:sz w:val="14"/>
                  <w:szCs w:val="14"/>
                  <w:color w:val="0000FF"/>
                </w:rPr>
                <w:t>Exhibit 10.1 to the Registrant’s Current Report on Form 8-K filed on November 3, 2025).</w:t>
              </w:r>
            </w:hyperlink>
          </w:p>
        </w:tc>
        <w:tc>
          <w:tcPr>
            <w:tcW w:w="10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5"/>
          </w:tcPr>
          <w:p>
            <w:pPr>
              <w:ind w:left="20"/>
              <w:spacing w:after="0"/>
              <w:rPr>
                <w:rFonts w:ascii="Arial" w:cs="Arial" w:eastAsia="Arial" w:hAnsi="Arial"/>
                <w:sz w:val="14"/>
                <w:szCs w:val="14"/>
                <w:color w:val="0000FF"/>
              </w:rPr>
            </w:pPr>
            <w:hyperlink r:id="rId197">
              <w:r>
                <w:rPr>
                  <w:rFonts w:ascii="Arial" w:cs="Arial" w:eastAsia="Arial" w:hAnsi="Arial"/>
                  <w:sz w:val="14"/>
                  <w:szCs w:val="14"/>
                  <w:color w:val="0000FF"/>
                </w:rPr>
                <w:t>10.</w:t>
              </w:r>
              <w:r>
                <w:rPr>
                  <w:rFonts w:ascii="Arial" w:cs="Arial" w:eastAsia="Arial" w:hAnsi="Arial"/>
                  <w:sz w:val="14"/>
                  <w:szCs w:val="14"/>
                  <w:u w:val="single" w:color="auto"/>
                  <w:color w:val="0000FF"/>
                </w:rPr>
                <w:t>2^</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7">
              <w:r>
                <w:rPr>
                  <w:rFonts w:ascii="Arial" w:cs="Arial" w:eastAsia="Arial" w:hAnsi="Arial"/>
                  <w:sz w:val="14"/>
                  <w:szCs w:val="14"/>
                  <w:color w:val="0000FF"/>
                </w:rPr>
                <w:t>Equity Exchange Right Agreement between Navan, Inc. and Ariel Cohen, dated October 29, 2025 (incorporated by reference to Exhibit 10.2 to the Registrant’s</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54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Current Report on Form 8-K filed on November 3, 2025).</w:t>
              </w:r>
            </w:hyperlink>
          </w:p>
        </w:tc>
        <w:tc>
          <w:tcPr>
            <w:tcW w:w="6360" w:type="dxa"/>
            <w:vAlign w:val="bottom"/>
            <w:tcBorders>
              <w:top w:val="single" w:sz="8" w:color="0000FF"/>
            </w:tcBorders>
            <w:gridSpan w:val="9"/>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0" w:type="dxa"/>
            <w:vAlign w:val="bottom"/>
            <w:gridSpan w:val="5"/>
          </w:tcPr>
          <w:p>
            <w:pPr>
              <w:ind w:left="20"/>
              <w:spacing w:after="0"/>
              <w:rPr>
                <w:rFonts w:ascii="Arial" w:cs="Arial" w:eastAsia="Arial" w:hAnsi="Arial"/>
                <w:sz w:val="14"/>
                <w:szCs w:val="14"/>
                <w:color w:val="0000FF"/>
              </w:rPr>
            </w:pPr>
            <w:hyperlink r:id="rId198">
              <w:r>
                <w:rPr>
                  <w:rFonts w:ascii="Arial" w:cs="Arial" w:eastAsia="Arial" w:hAnsi="Arial"/>
                  <w:sz w:val="14"/>
                  <w:szCs w:val="14"/>
                  <w:color w:val="0000FF"/>
                </w:rPr>
                <w:t>10.</w:t>
              </w:r>
              <w:r>
                <w:rPr>
                  <w:rFonts w:ascii="Arial" w:cs="Arial" w:eastAsia="Arial" w:hAnsi="Arial"/>
                  <w:sz w:val="14"/>
                  <w:szCs w:val="14"/>
                  <w:u w:val="single" w:color="auto"/>
                  <w:color w:val="0000FF"/>
                </w:rPr>
                <w:t>3^</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8">
              <w:r>
                <w:rPr>
                  <w:rFonts w:ascii="Arial" w:cs="Arial" w:eastAsia="Arial" w:hAnsi="Arial"/>
                  <w:sz w:val="14"/>
                  <w:szCs w:val="14"/>
                  <w:color w:val="0000FF"/>
                </w:rPr>
                <w:t>Equity Exchange Right Agreement between Navan, Inc. and Ilan Twig, dated October 29, 2025 (incorporated by reference to Exhibit 10.3 to the Registrant’s</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98">
              <w:r>
                <w:rPr>
                  <w:rFonts w:ascii="Arial" w:cs="Arial" w:eastAsia="Arial" w:hAnsi="Arial"/>
                  <w:sz w:val="14"/>
                  <w:szCs w:val="14"/>
                  <w:color w:val="0000FF"/>
                </w:rPr>
                <w:t>Current Report on Form 8-K filed on November 3, 2025).</w:t>
              </w:r>
            </w:hyperlink>
          </w:p>
        </w:tc>
        <w:tc>
          <w:tcPr>
            <w:tcW w:w="6180" w:type="dxa"/>
            <w:vAlign w:val="bottom"/>
            <w:tcBorders>
              <w:top w:val="single" w:sz="8" w:color="0000FF"/>
            </w:tcBorders>
            <w:gridSpan w:val="6"/>
          </w:tcPr>
          <w:p>
            <w:pPr>
              <w:spacing w:after="0"/>
              <w:rPr>
                <w:sz w:val="11"/>
                <w:szCs w:val="11"/>
                <w:color w:val="auto"/>
              </w:rPr>
            </w:pPr>
          </w:p>
        </w:tc>
        <w:tc>
          <w:tcPr>
            <w:tcW w:w="3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20" w:type="dxa"/>
            <w:vAlign w:val="bottom"/>
            <w:gridSpan w:val="6"/>
          </w:tcPr>
          <w:p>
            <w:pPr>
              <w:ind w:left="20"/>
              <w:spacing w:after="0"/>
              <w:rPr>
                <w:rFonts w:ascii="Arial" w:cs="Arial" w:eastAsia="Arial" w:hAnsi="Arial"/>
                <w:sz w:val="14"/>
                <w:szCs w:val="14"/>
                <w:color w:val="0000FF"/>
              </w:rPr>
            </w:pPr>
            <w:hyperlink r:id="rId199">
              <w:r>
                <w:rPr>
                  <w:rFonts w:ascii="Arial" w:cs="Arial" w:eastAsia="Arial" w:hAnsi="Arial"/>
                  <w:sz w:val="14"/>
                  <w:szCs w:val="14"/>
                  <w:color w:val="0000FF"/>
                </w:rPr>
                <w:t>10.</w:t>
              </w:r>
              <w:r>
                <w:rPr>
                  <w:rFonts w:ascii="Arial" w:cs="Arial" w:eastAsia="Arial" w:hAnsi="Arial"/>
                  <w:sz w:val="14"/>
                  <w:szCs w:val="14"/>
                  <w:u w:val="single" w:color="auto"/>
                  <w:color w:val="0000FF"/>
                </w:rPr>
                <w:t>4+</w:t>
              </w:r>
            </w:hyperlink>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199">
              <w:r>
                <w:rPr>
                  <w:rFonts w:ascii="Arial" w:cs="Arial" w:eastAsia="Arial" w:hAnsi="Arial"/>
                  <w:sz w:val="14"/>
                  <w:szCs w:val="14"/>
                  <w:color w:val="0000FF"/>
                </w:rPr>
                <w:t>Navan, Inc. 2025 Equity Incentive Plan and related form agreements (incorporated by reference to Exhibit 10.4 to the Registrant’s Periodic Report on Form 10-Q</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8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9"/>
              </w:rPr>
            </w:pPr>
            <w:hyperlink r:id="rId199">
              <w:r>
                <w:rPr>
                  <w:rFonts w:ascii="Arial" w:cs="Arial" w:eastAsia="Arial" w:hAnsi="Arial"/>
                  <w:sz w:val="14"/>
                  <w:szCs w:val="14"/>
                  <w:color w:val="0000FF"/>
                  <w:w w:val="99"/>
                </w:rPr>
                <w:t>filed on December 15, 2025).</w:t>
              </w:r>
            </w:hyperlink>
          </w:p>
        </w:tc>
        <w:tc>
          <w:tcPr>
            <w:tcW w:w="822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20" w:type="dxa"/>
            <w:vAlign w:val="bottom"/>
            <w:gridSpan w:val="6"/>
          </w:tcPr>
          <w:p>
            <w:pPr>
              <w:ind w:left="20"/>
              <w:spacing w:after="0"/>
              <w:rPr>
                <w:rFonts w:ascii="Arial" w:cs="Arial" w:eastAsia="Arial" w:hAnsi="Arial"/>
                <w:sz w:val="14"/>
                <w:szCs w:val="14"/>
                <w:color w:val="0000FF"/>
              </w:rPr>
            </w:pPr>
            <w:hyperlink r:id="rId200">
              <w:r>
                <w:rPr>
                  <w:rFonts w:ascii="Arial" w:cs="Arial" w:eastAsia="Arial" w:hAnsi="Arial"/>
                  <w:sz w:val="14"/>
                  <w:szCs w:val="14"/>
                  <w:color w:val="0000FF"/>
                </w:rPr>
                <w:t>10.</w:t>
              </w:r>
              <w:r>
                <w:rPr>
                  <w:rFonts w:ascii="Arial" w:cs="Arial" w:eastAsia="Arial" w:hAnsi="Arial"/>
                  <w:sz w:val="14"/>
                  <w:szCs w:val="14"/>
                  <w:u w:val="single" w:color="auto"/>
                  <w:color w:val="0000FF"/>
                </w:rPr>
                <w:t>5+</w:t>
              </w:r>
            </w:hyperlink>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200">
              <w:r>
                <w:rPr>
                  <w:rFonts w:ascii="Arial" w:cs="Arial" w:eastAsia="Arial" w:hAnsi="Arial"/>
                  <w:sz w:val="14"/>
                  <w:szCs w:val="14"/>
                  <w:color w:val="0000FF"/>
                </w:rPr>
                <w:t>Navan, Inc. 2025 Employee Stock Purchase Plan and related form agreements (incorporated by reference to Exhibit 10.4 to the Registrant’s Registration</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56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200">
              <w:r>
                <w:rPr>
                  <w:rFonts w:ascii="Arial" w:cs="Arial" w:eastAsia="Arial" w:hAnsi="Arial"/>
                  <w:sz w:val="14"/>
                  <w:szCs w:val="14"/>
                  <w:color w:val="0000FF"/>
                </w:rPr>
                <w:t>Statement on Form S-1/A, filed on October 10, 2025).</w:t>
              </w:r>
            </w:hyperlink>
          </w:p>
        </w:tc>
        <w:tc>
          <w:tcPr>
            <w:tcW w:w="480" w:type="dxa"/>
            <w:vAlign w:val="bottom"/>
            <w:gridSpan w:val="8"/>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0" w:type="dxa"/>
            <w:vAlign w:val="bottom"/>
            <w:gridSpan w:val="6"/>
          </w:tcPr>
          <w:p>
            <w:pPr>
              <w:ind w:left="20"/>
              <w:spacing w:after="0"/>
              <w:rPr>
                <w:rFonts w:ascii="Arial" w:cs="Arial" w:eastAsia="Arial" w:hAnsi="Arial"/>
                <w:sz w:val="14"/>
                <w:szCs w:val="14"/>
                <w:color w:val="0000FF"/>
              </w:rPr>
            </w:pPr>
            <w:hyperlink r:id="rId201">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100" w:type="dxa"/>
            <w:vAlign w:val="bottom"/>
          </w:tcPr>
          <w:p>
            <w:pPr>
              <w:spacing w:after="0"/>
              <w:rPr>
                <w:sz w:val="13"/>
                <w:szCs w:val="13"/>
                <w:color w:val="auto"/>
              </w:rPr>
            </w:pPr>
          </w:p>
        </w:tc>
        <w:tc>
          <w:tcPr>
            <w:tcW w:w="10080" w:type="dxa"/>
            <w:vAlign w:val="bottom"/>
            <w:gridSpan w:val="22"/>
          </w:tcPr>
          <w:p>
            <w:pPr>
              <w:spacing w:after="0"/>
              <w:rPr>
                <w:rFonts w:ascii="Arial" w:cs="Arial" w:eastAsia="Arial" w:hAnsi="Arial"/>
                <w:sz w:val="14"/>
                <w:szCs w:val="14"/>
                <w:color w:val="0000FF"/>
              </w:rPr>
            </w:pPr>
            <w:hyperlink r:id="rId201">
              <w:r>
                <w:rPr>
                  <w:rFonts w:ascii="Arial" w:cs="Arial" w:eastAsia="Arial" w:hAnsi="Arial"/>
                  <w:sz w:val="14"/>
                  <w:szCs w:val="14"/>
                  <w:color w:val="0000FF"/>
                </w:rPr>
                <w:t>Navan, Inc. Non-Employee Director Compensation Policy, effective as of October 29, 2025 (incorporated by reference to Exhibit 10.6 to the Registrant’s Periodic</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20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rPr>
            </w:pPr>
            <w:hyperlink r:id="rId201">
              <w:r>
                <w:rPr>
                  <w:rFonts w:ascii="Arial" w:cs="Arial" w:eastAsia="Arial" w:hAnsi="Arial"/>
                  <w:sz w:val="14"/>
                  <w:szCs w:val="14"/>
                  <w:color w:val="0000FF"/>
                </w:rPr>
                <w:t>Report on Form 10-Q filed on December 15, 2025).</w:t>
              </w:r>
            </w:hyperlink>
          </w:p>
        </w:tc>
        <w:tc>
          <w:tcPr>
            <w:tcW w:w="6820" w:type="dxa"/>
            <w:vAlign w:val="bottom"/>
            <w:tcBorders>
              <w:top w:val="single" w:sz="8" w:color="0000FF"/>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gridSpan w:val="4"/>
          </w:tcPr>
          <w:p>
            <w:pPr>
              <w:spacing w:after="0"/>
              <w:rPr>
                <w:rFonts w:ascii="Arial" w:cs="Arial" w:eastAsia="Arial" w:hAnsi="Arial"/>
                <w:sz w:val="14"/>
                <w:szCs w:val="14"/>
                <w:color w:val="0000FF"/>
              </w:rPr>
            </w:pPr>
            <w:hyperlink r:id="rId203">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3">
              <w:r>
                <w:rPr>
                  <w:rFonts w:ascii="Arial" w:cs="Arial" w:eastAsia="Arial" w:hAnsi="Arial"/>
                  <w:sz w:val="14"/>
                  <w:szCs w:val="14"/>
                  <w:color w:val="0000FF"/>
                </w:rPr>
                <w:t>Navan, Inc. Cash Incentive Bonus Plan, effective as of October 29, 2025 (incorporated by reference to Exhibit 10.7 to the Registrant’s Periodic Report on Form</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10-Q filed on December 15, 2025).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40" w:type="dxa"/>
            <w:vAlign w:val="bottom"/>
            <w:gridSpan w:val="4"/>
          </w:tcPr>
          <w:p>
            <w:pPr>
              <w:spacing w:after="0"/>
              <w:rPr>
                <w:rFonts w:ascii="Arial" w:cs="Arial" w:eastAsia="Arial" w:hAnsi="Arial"/>
                <w:sz w:val="14"/>
                <w:szCs w:val="14"/>
                <w:color w:val="0000FF"/>
              </w:rPr>
            </w:pPr>
            <w:hyperlink r:id="rId204">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4">
              <w:r>
                <w:rPr>
                  <w:rFonts w:ascii="Arial" w:cs="Arial" w:eastAsia="Arial" w:hAnsi="Arial"/>
                  <w:sz w:val="14"/>
                  <w:szCs w:val="14"/>
                  <w:color w:val="0000FF"/>
                </w:rPr>
                <w:t>Confirmatory Offer Letter between Ariel Cohen and Navan, Inc. (incorporated by reference to Exhibit 10.5 to the Registrant’s Registration Statement on Form S-</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204">
              <w:r>
                <w:rPr>
                  <w:rFonts w:ascii="Arial" w:cs="Arial" w:eastAsia="Arial" w:hAnsi="Arial"/>
                  <w:sz w:val="13"/>
                  <w:szCs w:val="13"/>
                  <w:color w:val="0000FF"/>
                </w:rPr>
                <w:t>1/A, filed on October 10, 2025).</w:t>
              </w:r>
            </w:hyperlink>
          </w:p>
        </w:tc>
        <w:tc>
          <w:tcPr>
            <w:tcW w:w="800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40" w:type="dxa"/>
            <w:vAlign w:val="bottom"/>
            <w:gridSpan w:val="4"/>
          </w:tcPr>
          <w:p>
            <w:pPr>
              <w:spacing w:after="0"/>
              <w:rPr>
                <w:rFonts w:ascii="Arial" w:cs="Arial" w:eastAsia="Arial" w:hAnsi="Arial"/>
                <w:sz w:val="14"/>
                <w:szCs w:val="14"/>
                <w:color w:val="0000FF"/>
              </w:rPr>
            </w:pPr>
            <w:hyperlink r:id="rId205">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5">
              <w:r>
                <w:rPr>
                  <w:rFonts w:ascii="Arial" w:cs="Arial" w:eastAsia="Arial" w:hAnsi="Arial"/>
                  <w:sz w:val="14"/>
                  <w:szCs w:val="14"/>
                  <w:color w:val="0000FF"/>
                </w:rPr>
                <w:t>Confirmatory Offer Letter between Michael Sindicich and Navan, Inc. (incorporated by reference to Exhibit 10.6 to the Registrant’s Registration Statement on</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205">
              <w:r>
                <w:rPr>
                  <w:rFonts w:ascii="Arial" w:cs="Arial" w:eastAsia="Arial" w:hAnsi="Arial"/>
                  <w:sz w:val="13"/>
                  <w:szCs w:val="13"/>
                  <w:color w:val="0000FF"/>
                </w:rPr>
                <w:t>Form S-1/A, filed on October 10, 2025).</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520" w:type="dxa"/>
            <w:vAlign w:val="bottom"/>
            <w:gridSpan w:val="5"/>
          </w:tcPr>
          <w:p>
            <w:pPr>
              <w:spacing w:after="0"/>
              <w:rPr>
                <w:rFonts w:ascii="Arial" w:cs="Arial" w:eastAsia="Arial" w:hAnsi="Arial"/>
                <w:sz w:val="14"/>
                <w:szCs w:val="14"/>
                <w:color w:val="0000FF"/>
              </w:rPr>
            </w:pPr>
            <w:hyperlink r:id="rId206">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6">
              <w:r>
                <w:rPr>
                  <w:rFonts w:ascii="Arial" w:cs="Arial" w:eastAsia="Arial" w:hAnsi="Arial"/>
                  <w:sz w:val="14"/>
                  <w:szCs w:val="14"/>
                  <w:color w:val="0000FF"/>
                </w:rPr>
                <w:t>Confirmatory Offer Letter between Ilan Twig and Navan, Inc. (incorporated by reference to Exhibit 10.7 to the Registrant’s Registration Statement on Form S-</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206">
              <w:r>
                <w:rPr>
                  <w:rFonts w:ascii="Arial" w:cs="Arial" w:eastAsia="Arial" w:hAnsi="Arial"/>
                  <w:sz w:val="13"/>
                  <w:szCs w:val="13"/>
                  <w:color w:val="0000FF"/>
                </w:rPr>
                <w:t>1/A, filed on October 10, 2025).</w:t>
              </w:r>
            </w:hyperlink>
          </w:p>
        </w:tc>
        <w:tc>
          <w:tcPr>
            <w:tcW w:w="7820" w:type="dxa"/>
            <w:vAlign w:val="bottom"/>
            <w:tcBorders>
              <w:top w:val="single" w:sz="8" w:color="0000FF"/>
            </w:tcBorders>
            <w:gridSpan w:val="18"/>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360" w:type="dxa"/>
            <w:vAlign w:val="bottom"/>
            <w:gridSpan w:val="2"/>
          </w:tcPr>
          <w:p>
            <w:pPr>
              <w:spacing w:after="0"/>
              <w:rPr>
                <w:rFonts w:ascii="Arial" w:cs="Arial" w:eastAsia="Arial" w:hAnsi="Arial"/>
                <w:sz w:val="14"/>
                <w:szCs w:val="14"/>
                <w:color w:val="0000FF"/>
                <w:w w:val="91"/>
              </w:rPr>
            </w:pPr>
            <w:hyperlink r:id="rId207">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11</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7">
              <w:r>
                <w:rPr>
                  <w:rFonts w:ascii="Arial" w:cs="Arial" w:eastAsia="Arial" w:hAnsi="Arial"/>
                  <w:sz w:val="14"/>
                  <w:szCs w:val="14"/>
                  <w:color w:val="0000FF"/>
                </w:rPr>
                <w:t>Form of Indemnity Agreement between Navan, Inc. and each of its directors and executive officers (incorporated by reference to Exhibit 10.1 to the Registrant’s</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16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Registration Statement on Form S-1 filed on September 19, 2025).</w:t>
              </w:r>
            </w:hyperlink>
          </w:p>
        </w:tc>
        <w:tc>
          <w:tcPr>
            <w:tcW w:w="578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520" w:type="dxa"/>
            <w:vAlign w:val="bottom"/>
            <w:gridSpan w:val="5"/>
          </w:tcPr>
          <w:p>
            <w:pPr>
              <w:spacing w:after="0"/>
              <w:rPr>
                <w:rFonts w:ascii="Arial" w:cs="Arial" w:eastAsia="Arial" w:hAnsi="Arial"/>
                <w:sz w:val="14"/>
                <w:szCs w:val="14"/>
                <w:color w:val="0000FF"/>
              </w:rPr>
            </w:pPr>
            <w:r>
              <w:rPr>
                <w:rFonts w:ascii="Arial" w:cs="Arial" w:eastAsia="Arial" w:hAnsi="Arial"/>
                <w:sz w:val="14"/>
                <w:szCs w:val="14"/>
                <w:color w:val="0000FF"/>
              </w:rPr>
              <w:t>10.</w:t>
            </w:r>
            <w:hyperlink r:id="rId208">
              <w:r>
                <w:rPr>
                  <w:rFonts w:ascii="Arial" w:cs="Arial" w:eastAsia="Arial" w:hAnsi="Arial"/>
                  <w:sz w:val="14"/>
                  <w:szCs w:val="14"/>
                  <w:u w:val="single" w:color="auto"/>
                  <w:color w:val="0000FF"/>
                </w:rPr>
                <w:t>12+</w:t>
              </w:r>
            </w:hyperlink>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8">
              <w:r>
                <w:rPr>
                  <w:rFonts w:ascii="Arial" w:cs="Arial" w:eastAsia="Arial" w:hAnsi="Arial"/>
                  <w:sz w:val="14"/>
                  <w:szCs w:val="14"/>
                  <w:color w:val="0000FF"/>
                </w:rPr>
                <w:t>Form of Change of Control and Severance Agreement between Navan, Inc. and each of its named executive officers (incorporated by reference to Exhibit 10.8</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34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rPr>
            </w:pPr>
            <w:hyperlink r:id="rId208">
              <w:r>
                <w:rPr>
                  <w:rFonts w:ascii="Arial" w:cs="Arial" w:eastAsia="Arial" w:hAnsi="Arial"/>
                  <w:sz w:val="13"/>
                  <w:szCs w:val="13"/>
                  <w:color w:val="0000FF"/>
                </w:rPr>
                <w:t>to the Registrant’s Registration Statement on Form S-1/A, filed on October 10, 2025).</w:t>
              </w:r>
            </w:hyperlink>
          </w:p>
        </w:tc>
        <w:tc>
          <w:tcPr>
            <w:tcW w:w="4580" w:type="dxa"/>
            <w:vAlign w:val="bottom"/>
            <w:tcBorders>
              <w:top w:val="single" w:sz="8" w:color="0000FF"/>
            </w:tcBorders>
            <w:gridSpan w:val="11"/>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71"/>
        </w:trPr>
        <w:tc>
          <w:tcPr>
            <w:tcW w:w="520" w:type="dxa"/>
            <w:vAlign w:val="bottom"/>
            <w:gridSpan w:val="5"/>
          </w:tcPr>
          <w:p>
            <w:pPr>
              <w:spacing w:after="0"/>
              <w:rPr>
                <w:sz w:val="20"/>
                <w:szCs w:val="20"/>
                <w:color w:val="auto"/>
              </w:rPr>
            </w:pPr>
            <w:r>
              <w:rPr>
                <w:rFonts w:ascii="Arial" w:cs="Arial" w:eastAsia="Arial" w:hAnsi="Arial"/>
                <w:sz w:val="14"/>
                <w:szCs w:val="14"/>
                <w:color w:val="0000FF"/>
                <w:w w:val="94"/>
              </w:rPr>
              <w:t>10.</w:t>
            </w:r>
            <w:r>
              <w:rPr>
                <w:rFonts w:ascii="Arial" w:cs="Arial" w:eastAsia="Arial" w:hAnsi="Arial"/>
                <w:sz w:val="14"/>
                <w:szCs w:val="14"/>
                <w:u w:val="single" w:color="auto"/>
                <w:color w:val="0000FF"/>
                <w:w w:val="94"/>
              </w:rPr>
              <w:t>13+#</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Transition and Separation Agreement between Amy Butte and Navan, Inc., dated December 12, 2025.</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60"/>
        </w:trPr>
        <w:tc>
          <w:tcPr>
            <w:tcW w:w="520" w:type="dxa"/>
            <w:vAlign w:val="bottom"/>
            <w:gridSpan w:val="5"/>
          </w:tcPr>
          <w:p>
            <w:pPr>
              <w:spacing w:after="0"/>
              <w:rPr>
                <w:sz w:val="20"/>
                <w:szCs w:val="20"/>
                <w:color w:val="auto"/>
              </w:rPr>
            </w:pPr>
            <w:r>
              <w:rPr>
                <w:rFonts w:ascii="Arial" w:cs="Arial" w:eastAsia="Arial" w:hAnsi="Arial"/>
                <w:sz w:val="14"/>
                <w:szCs w:val="14"/>
                <w:color w:val="0000FF"/>
                <w:w w:val="94"/>
              </w:rPr>
              <w:t>10.</w:t>
            </w:r>
            <w:r>
              <w:rPr>
                <w:rFonts w:ascii="Arial" w:cs="Arial" w:eastAsia="Arial" w:hAnsi="Arial"/>
                <w:sz w:val="14"/>
                <w:szCs w:val="14"/>
                <w:u w:val="single" w:color="auto"/>
                <w:color w:val="0000FF"/>
                <w:w w:val="94"/>
              </w:rPr>
              <w:t>14+#</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Confirmatory Offer Letter between Anne Giviskos and Navan, Inc.</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60"/>
        </w:trPr>
        <w:tc>
          <w:tcPr>
            <w:tcW w:w="520" w:type="dxa"/>
            <w:vAlign w:val="bottom"/>
            <w:gridSpan w:val="5"/>
          </w:tcPr>
          <w:p>
            <w:pPr>
              <w:spacing w:after="0"/>
              <w:rPr>
                <w:sz w:val="20"/>
                <w:szCs w:val="20"/>
                <w:color w:val="auto"/>
              </w:rPr>
            </w:pPr>
            <w:r>
              <w:rPr>
                <w:rFonts w:ascii="Arial" w:cs="Arial" w:eastAsia="Arial" w:hAnsi="Arial"/>
                <w:sz w:val="14"/>
                <w:szCs w:val="14"/>
                <w:color w:val="0000FF"/>
                <w:w w:val="94"/>
              </w:rPr>
              <w:t>10.</w:t>
            </w:r>
            <w:r>
              <w:rPr>
                <w:rFonts w:ascii="Arial" w:cs="Arial" w:eastAsia="Arial" w:hAnsi="Arial"/>
                <w:sz w:val="14"/>
                <w:szCs w:val="14"/>
                <w:u w:val="single" w:color="auto"/>
                <w:color w:val="0000FF"/>
                <w:w w:val="94"/>
              </w:rPr>
              <w:t>15+#</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Retention Agreement between Anne Giviskos and Navan, Inc., dated December 12, 2025.</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60"/>
        </w:trPr>
        <w:tc>
          <w:tcPr>
            <w:tcW w:w="560" w:type="dxa"/>
            <w:vAlign w:val="bottom"/>
            <w:gridSpan w:val="6"/>
          </w:tcPr>
          <w:p>
            <w:pPr>
              <w:spacing w:after="0"/>
              <w:rPr>
                <w:sz w:val="20"/>
                <w:szCs w:val="20"/>
                <w:color w:val="auto"/>
              </w:rPr>
            </w:pPr>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16#^*</w:t>
            </w: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Revolving Credit and Security Agreement among Liquid Labs SPV, LLC, a wholly owned subsidiary of Navan, Inc., and Goldman Sachs Bank USA, dated</w:t>
            </w:r>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80" w:type="dxa"/>
            <w:vAlign w:val="bottom"/>
            <w:tcBorders>
              <w:top w:val="single" w:sz="8" w:color="0000FF"/>
            </w:tcBorders>
            <w:gridSpan w:val="16"/>
          </w:tcPr>
          <w:p>
            <w:pPr>
              <w:spacing w:after="0" w:line="118" w:lineRule="exact"/>
              <w:rPr>
                <w:sz w:val="20"/>
                <w:szCs w:val="20"/>
                <w:color w:val="auto"/>
              </w:rPr>
            </w:pPr>
            <w:r>
              <w:rPr>
                <w:rFonts w:ascii="Arial" w:cs="Arial" w:eastAsia="Arial" w:hAnsi="Arial"/>
                <w:sz w:val="13"/>
                <w:szCs w:val="13"/>
                <w:color w:val="0000FF"/>
              </w:rPr>
              <w:t>November 18, 2022, as amended.</w:t>
            </w:r>
          </w:p>
        </w:tc>
        <w:tc>
          <w:tcPr>
            <w:tcW w:w="2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160" w:type="dxa"/>
            <w:vAlign w:val="bottom"/>
            <w:gridSpan w:val="5"/>
          </w:tcPr>
          <w:p>
            <w:pPr>
              <w:spacing w:after="0"/>
              <w:rPr>
                <w:sz w:val="10"/>
                <w:szCs w:val="10"/>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71"/>
        </w:trPr>
        <w:tc>
          <w:tcPr>
            <w:tcW w:w="520" w:type="dxa"/>
            <w:vAlign w:val="bottom"/>
            <w:gridSpan w:val="5"/>
          </w:tcPr>
          <w:p>
            <w:pPr>
              <w:spacing w:after="0"/>
              <w:rPr>
                <w:rFonts w:ascii="Arial" w:cs="Arial" w:eastAsia="Arial" w:hAnsi="Arial"/>
                <w:sz w:val="14"/>
                <w:szCs w:val="14"/>
                <w:color w:val="0000FF"/>
              </w:rPr>
            </w:pPr>
            <w:hyperlink r:id="rId209">
              <w:r>
                <w:rPr>
                  <w:rFonts w:ascii="Arial" w:cs="Arial" w:eastAsia="Arial" w:hAnsi="Arial"/>
                  <w:sz w:val="14"/>
                  <w:szCs w:val="14"/>
                  <w:color w:val="0000FF"/>
                </w:rPr>
                <w:t>10.</w:t>
              </w:r>
            </w:hyperlink>
            <w:r>
              <w:rPr>
                <w:rFonts w:ascii="Arial" w:cs="Arial" w:eastAsia="Arial" w:hAnsi="Arial"/>
                <w:sz w:val="14"/>
                <w:szCs w:val="14"/>
                <w:u w:val="single" w:color="auto"/>
                <w:color w:val="0000FF"/>
              </w:rPr>
              <w:t>17^*</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09">
              <w:r>
                <w:rPr>
                  <w:rFonts w:ascii="Arial" w:cs="Arial" w:eastAsia="Arial" w:hAnsi="Arial"/>
                  <w:sz w:val="14"/>
                  <w:szCs w:val="14"/>
                  <w:color w:val="0000FF"/>
                </w:rPr>
                <w:t>Credit Agreement among Navan, Inc., Reed &amp; Mackay Travel Inc., Reed &amp; Mackay Travel Limited, and Citibank, N.A., dated March 14, 2025 (incorporated by</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09">
              <w:r>
                <w:rPr>
                  <w:rFonts w:ascii="Arial" w:cs="Arial" w:eastAsia="Arial" w:hAnsi="Arial"/>
                  <w:sz w:val="13"/>
                  <w:szCs w:val="13"/>
                  <w:color w:val="0000FF"/>
                </w:rPr>
                <w:t>reference to Exhibit 10.10 to the Registrant’s Registration Statement on Form S-1/A, filed on October 10, 2025).</w:t>
              </w:r>
            </w:hyperlink>
          </w:p>
        </w:tc>
        <w:tc>
          <w:tcPr>
            <w:tcW w:w="160" w:type="dxa"/>
            <w:vAlign w:val="bottom"/>
            <w:gridSpan w:val="5"/>
          </w:tcPr>
          <w:p>
            <w:pPr>
              <w:spacing w:after="0"/>
              <w:rPr>
                <w:sz w:val="10"/>
                <w:szCs w:val="10"/>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r>
      <w:tr>
        <w:trPr>
          <w:trHeight w:val="171"/>
        </w:trPr>
        <w:tc>
          <w:tcPr>
            <w:tcW w:w="360" w:type="dxa"/>
            <w:vAlign w:val="bottom"/>
            <w:gridSpan w:val="2"/>
          </w:tcPr>
          <w:p>
            <w:pPr>
              <w:spacing w:after="0"/>
              <w:rPr>
                <w:rFonts w:ascii="Arial" w:cs="Arial" w:eastAsia="Arial" w:hAnsi="Arial"/>
                <w:sz w:val="14"/>
                <w:szCs w:val="14"/>
                <w:color w:val="0000FF"/>
                <w:w w:val="91"/>
              </w:rPr>
            </w:pPr>
            <w:hyperlink r:id="rId210">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18</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0" w:type="dxa"/>
            <w:vAlign w:val="bottom"/>
            <w:gridSpan w:val="26"/>
          </w:tcPr>
          <w:p>
            <w:pPr>
              <w:spacing w:after="0"/>
              <w:rPr>
                <w:rFonts w:ascii="Arial" w:cs="Arial" w:eastAsia="Arial" w:hAnsi="Arial"/>
                <w:sz w:val="14"/>
                <w:szCs w:val="14"/>
                <w:color w:val="0000FF"/>
              </w:rPr>
            </w:pPr>
            <w:hyperlink r:id="rId210">
              <w:r>
                <w:rPr>
                  <w:rFonts w:ascii="Arial" w:cs="Arial" w:eastAsia="Arial" w:hAnsi="Arial"/>
                  <w:sz w:val="14"/>
                  <w:szCs w:val="14"/>
                  <w:color w:val="0000FF"/>
                </w:rPr>
                <w:t>Triple Net Space Lease (Single Tenant), between 3045 Park Property LLC and TripActions, Inc. (n/k/a/ Navan, Inc.), dated June 24, 2022 (incorporated by</w:t>
              </w:r>
            </w:hyperlink>
          </w:p>
        </w:tc>
      </w:tr>
      <w:tr>
        <w:trPr>
          <w:trHeight w:val="118"/>
        </w:trPr>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10">
              <w:r>
                <w:rPr>
                  <w:rFonts w:ascii="Arial" w:cs="Arial" w:eastAsia="Arial" w:hAnsi="Arial"/>
                  <w:sz w:val="13"/>
                  <w:szCs w:val="13"/>
                  <w:color w:val="0000FF"/>
                </w:rPr>
                <w:t>reference to Exhibit 10.9 to the Registrant’s Registration Statement on Form S-1 filed on September 19, 2025).</w:t>
              </w:r>
            </w:hyperlink>
          </w:p>
        </w:tc>
        <w:tc>
          <w:tcPr>
            <w:tcW w:w="380" w:type="dxa"/>
            <w:vAlign w:val="bottom"/>
            <w:gridSpan w:val="8"/>
          </w:tcPr>
          <w:p>
            <w:pPr>
              <w:spacing w:after="0"/>
              <w:rPr>
                <w:sz w:val="10"/>
                <w:szCs w:val="10"/>
                <w:color w:val="auto"/>
              </w:rPr>
            </w:pPr>
          </w:p>
        </w:tc>
      </w:tr>
      <w:tr>
        <w:trPr>
          <w:trHeight w:val="171"/>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19.</w:t>
            </w:r>
            <w:r>
              <w:rPr>
                <w:rFonts w:ascii="Arial" w:cs="Arial" w:eastAsia="Arial" w:hAnsi="Arial"/>
                <w:sz w:val="14"/>
                <w:szCs w:val="14"/>
                <w:u w:val="single" w:color="auto"/>
                <w:color w:val="0000FF"/>
                <w:w w:val="91"/>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80" w:type="dxa"/>
            <w:vAlign w:val="bottom"/>
            <w:tcBorders>
              <w:top w:val="single" w:sz="8" w:color="0000FF"/>
            </w:tcBorders>
            <w:gridSpan w:val="16"/>
          </w:tcPr>
          <w:p>
            <w:pPr>
              <w:spacing w:after="0"/>
              <w:rPr>
                <w:sz w:val="20"/>
                <w:szCs w:val="20"/>
                <w:color w:val="auto"/>
              </w:rPr>
            </w:pPr>
            <w:r>
              <w:rPr>
                <w:rFonts w:ascii="Arial" w:cs="Arial" w:eastAsia="Arial" w:hAnsi="Arial"/>
                <w:sz w:val="14"/>
                <w:szCs w:val="14"/>
                <w:color w:val="0000FF"/>
              </w:rPr>
              <w:t>Navan Inc. Insider Trading Policy, as amended through March 3, 2026.</w:t>
            </w:r>
          </w:p>
        </w:tc>
        <w:tc>
          <w:tcPr>
            <w:tcW w:w="3020" w:type="dxa"/>
            <w:vAlign w:val="bottom"/>
            <w:gridSpan w:val="10"/>
          </w:tcPr>
          <w:p>
            <w:pPr>
              <w:spacing w:after="0"/>
              <w:rPr>
                <w:sz w:val="14"/>
                <w:szCs w:val="14"/>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21.</w:t>
            </w:r>
            <w:r>
              <w:rPr>
                <w:rFonts w:ascii="Arial" w:cs="Arial" w:eastAsia="Arial" w:hAnsi="Arial"/>
                <w:sz w:val="14"/>
                <w:szCs w:val="14"/>
                <w:u w:val="single" w:color="auto"/>
                <w:color w:val="0000FF"/>
                <w:w w:val="91"/>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List of Subsidiaries of Navan, Inc.</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23.</w:t>
            </w:r>
            <w:r>
              <w:rPr>
                <w:rFonts w:ascii="Arial" w:cs="Arial" w:eastAsia="Arial" w:hAnsi="Arial"/>
                <w:sz w:val="14"/>
                <w:szCs w:val="14"/>
                <w:u w:val="single" w:color="auto"/>
                <w:color w:val="0000FF"/>
                <w:w w:val="91"/>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Consent of PricewaterhouseCoopers LLP, independent registered public accounting firm.</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r>
      <w:tr>
        <w:trPr>
          <w:trHeight w:val="160"/>
        </w:trPr>
        <w:tc>
          <w:tcPr>
            <w:tcW w:w="280" w:type="dxa"/>
            <w:vAlign w:val="bottom"/>
          </w:tcPr>
          <w:p>
            <w:pPr>
              <w:spacing w:after="0"/>
              <w:rPr>
                <w:sz w:val="20"/>
                <w:szCs w:val="20"/>
                <w:color w:val="auto"/>
              </w:rPr>
            </w:pPr>
            <w:r>
              <w:rPr>
                <w:rFonts w:ascii="Arial" w:cs="Arial" w:eastAsia="Arial" w:hAnsi="Arial"/>
                <w:sz w:val="14"/>
                <w:szCs w:val="14"/>
                <w:color w:val="0000FF"/>
                <w:w w:val="95"/>
              </w:rPr>
              <w:t>24.</w:t>
            </w:r>
            <w:r>
              <w:rPr>
                <w:rFonts w:ascii="Arial" w:cs="Arial" w:eastAsia="Arial" w:hAnsi="Arial"/>
                <w:sz w:val="14"/>
                <w:szCs w:val="14"/>
                <w:u w:val="single" w:color="auto"/>
                <w:color w:val="0000FF"/>
                <w:w w:val="95"/>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Power of Attorney (included on signature page hereto).</w:t>
            </w: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31.</w:t>
            </w:r>
            <w:r>
              <w:rPr>
                <w:rFonts w:ascii="Arial" w:cs="Arial" w:eastAsia="Arial" w:hAnsi="Arial"/>
                <w:sz w:val="14"/>
                <w:szCs w:val="14"/>
                <w:u w:val="single" w:color="auto"/>
                <w:color w:val="0000FF"/>
                <w:w w:val="91"/>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Certification of Principal Executive Officer, as required by Section 302 of the Sarbanes-Oxley Act of 2002.</w:t>
            </w:r>
          </w:p>
        </w:tc>
      </w:tr>
      <w:tr>
        <w:trPr>
          <w:trHeight w:val="20"/>
        </w:trPr>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3720" w:type="dxa"/>
            <w:vAlign w:val="bottom"/>
            <w:gridSpan w:val="9"/>
            <w:shd w:val="clear" w:color="auto" w:fill="0000FF"/>
          </w:tcPr>
          <w:p>
            <w:pPr>
              <w:spacing w:after="0" w:line="20" w:lineRule="exact"/>
              <w:rPr>
                <w:sz w:val="1"/>
                <w:szCs w:val="1"/>
                <w:color w:val="auto"/>
              </w:rPr>
            </w:pPr>
          </w:p>
        </w:tc>
        <w:tc>
          <w:tcPr>
            <w:tcW w:w="3460" w:type="dxa"/>
            <w:vAlign w:val="bottom"/>
            <w:tcBorders>
              <w:left w:val="single" w:sz="8" w:color="0000FF"/>
            </w:tcBorders>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31.</w:t>
            </w:r>
            <w:r>
              <w:rPr>
                <w:rFonts w:ascii="Arial" w:cs="Arial" w:eastAsia="Arial" w:hAnsi="Arial"/>
                <w:sz w:val="14"/>
                <w:szCs w:val="14"/>
                <w:u w:val="single" w:color="auto"/>
                <w:color w:val="0000FF"/>
                <w:w w:val="91"/>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Certification of Principal Financial Officer, as required by Section 302 of the Sarbanes-Oxley Act of 2002.</w:t>
            </w:r>
          </w:p>
        </w:tc>
      </w:tr>
      <w:tr>
        <w:trPr>
          <w:trHeight w:val="20"/>
        </w:trPr>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3720" w:type="dxa"/>
            <w:vAlign w:val="bottom"/>
            <w:gridSpan w:val="9"/>
            <w:shd w:val="clear" w:color="auto" w:fill="0000FF"/>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32.</w:t>
            </w:r>
            <w:r>
              <w:rPr>
                <w:rFonts w:ascii="Arial" w:cs="Arial" w:eastAsia="Arial" w:hAnsi="Arial"/>
                <w:sz w:val="14"/>
                <w:szCs w:val="14"/>
                <w:u w:val="single" w:color="auto"/>
                <w:color w:val="0000FF"/>
                <w:w w:val="91"/>
              </w:rPr>
              <w:t>1†</w:t>
            </w:r>
          </w:p>
        </w:tc>
        <w:tc>
          <w:tcPr>
            <w:tcW w:w="840" w:type="dxa"/>
            <w:vAlign w:val="bottom"/>
            <w:gridSpan w:val="5"/>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Certification of Principal Executive Officer, as required by Section 906 of the Sarbanes-Oxley Act of 2002.</w:t>
            </w:r>
          </w:p>
        </w:tc>
      </w:tr>
      <w:tr>
        <w:trPr>
          <w:trHeight w:val="20"/>
        </w:trPr>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3720" w:type="dxa"/>
            <w:vAlign w:val="bottom"/>
            <w:gridSpan w:val="9"/>
            <w:shd w:val="clear" w:color="auto" w:fill="0000FF"/>
          </w:tcPr>
          <w:p>
            <w:pPr>
              <w:spacing w:after="0" w:line="20" w:lineRule="exact"/>
              <w:rPr>
                <w:sz w:val="1"/>
                <w:szCs w:val="1"/>
                <w:color w:val="auto"/>
              </w:rPr>
            </w:pPr>
          </w:p>
        </w:tc>
        <w:tc>
          <w:tcPr>
            <w:tcW w:w="3460" w:type="dxa"/>
            <w:vAlign w:val="bottom"/>
            <w:tcBorders>
              <w:left w:val="single" w:sz="8" w:color="0000FF"/>
            </w:tcBorders>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32.</w:t>
            </w:r>
            <w:r>
              <w:rPr>
                <w:rFonts w:ascii="Arial" w:cs="Arial" w:eastAsia="Arial" w:hAnsi="Arial"/>
                <w:sz w:val="14"/>
                <w:szCs w:val="14"/>
                <w:u w:val="single" w:color="auto"/>
                <w:color w:val="0000FF"/>
                <w:w w:val="91"/>
              </w:rPr>
              <w:t>2†</w:t>
            </w:r>
          </w:p>
        </w:tc>
        <w:tc>
          <w:tcPr>
            <w:tcW w:w="840" w:type="dxa"/>
            <w:vAlign w:val="bottom"/>
            <w:gridSpan w:val="5"/>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Certification of Principal Financial Officer, as required by Section 906 of the Sarbanes-Oxley Act of 2002.</w:t>
            </w:r>
          </w:p>
        </w:tc>
      </w:tr>
      <w:tr>
        <w:trPr>
          <w:trHeight w:val="20"/>
        </w:trPr>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3720" w:type="dxa"/>
            <w:vAlign w:val="bottom"/>
            <w:gridSpan w:val="9"/>
            <w:shd w:val="clear" w:color="auto" w:fill="0000FF"/>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r>
      <w:tr>
        <w:trPr>
          <w:trHeight w:val="160"/>
        </w:trPr>
        <w:tc>
          <w:tcPr>
            <w:tcW w:w="360" w:type="dxa"/>
            <w:vAlign w:val="bottom"/>
            <w:gridSpan w:val="2"/>
          </w:tcPr>
          <w:p>
            <w:pPr>
              <w:spacing w:after="0"/>
              <w:rPr>
                <w:sz w:val="20"/>
                <w:szCs w:val="20"/>
                <w:color w:val="auto"/>
              </w:rPr>
            </w:pPr>
            <w:r>
              <w:rPr>
                <w:rFonts w:ascii="Arial" w:cs="Arial" w:eastAsia="Arial" w:hAnsi="Arial"/>
                <w:sz w:val="14"/>
                <w:szCs w:val="14"/>
                <w:color w:val="0000FF"/>
                <w:w w:val="91"/>
              </w:rPr>
              <w:t>97.</w:t>
            </w:r>
            <w:r>
              <w:rPr>
                <w:rFonts w:ascii="Arial" w:cs="Arial" w:eastAsia="Arial" w:hAnsi="Arial"/>
                <w:sz w:val="14"/>
                <w:szCs w:val="14"/>
                <w:u w:val="single" w:color="auto"/>
                <w:color w:val="0000FF"/>
                <w:w w:val="91"/>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0000FF"/>
              </w:rPr>
              <w:t>Incentive Compensation Recoupment Policy.</w:t>
            </w:r>
          </w:p>
        </w:tc>
      </w:tr>
      <w:tr>
        <w:trPr>
          <w:trHeight w:val="20"/>
        </w:trPr>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7180" w:type="dxa"/>
            <w:vAlign w:val="bottom"/>
            <w:gridSpan w:val="20"/>
          </w:tcPr>
          <w:p>
            <w:pPr>
              <w:spacing w:after="0" w:line="20" w:lineRule="exact"/>
              <w:rPr>
                <w:sz w:val="1"/>
                <w:szCs w:val="1"/>
                <w:color w:val="auto"/>
              </w:rPr>
            </w:pPr>
          </w:p>
        </w:tc>
      </w:tr>
      <w:tr>
        <w:trPr>
          <w:trHeight w:val="150"/>
        </w:trPr>
        <w:tc>
          <w:tcPr>
            <w:tcW w:w="360" w:type="dxa"/>
            <w:vAlign w:val="bottom"/>
            <w:gridSpan w:val="2"/>
          </w:tcPr>
          <w:p>
            <w:pPr>
              <w:spacing w:after="0" w:line="150"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0" w:type="dxa"/>
            <w:vAlign w:val="bottom"/>
            <w:gridSpan w:val="26"/>
          </w:tcPr>
          <w:p>
            <w:pPr>
              <w:spacing w:after="0" w:line="150" w:lineRule="exact"/>
              <w:rPr>
                <w:sz w:val="20"/>
                <w:szCs w:val="20"/>
                <w:color w:val="auto"/>
              </w:rPr>
            </w:pPr>
            <w:r>
              <w:rPr>
                <w:rFonts w:ascii="Arial" w:cs="Arial" w:eastAsia="Arial" w:hAnsi="Arial"/>
                <w:sz w:val="14"/>
                <w:szCs w:val="14"/>
                <w:color w:val="auto"/>
              </w:rPr>
              <w:t>The following financial information from the Company’s Annual Report on Form 10-K for the year ended January 31, 2026, formatted in Inline Extensible</w:t>
            </w:r>
          </w:p>
        </w:tc>
      </w:tr>
      <w:tr>
        <w:trPr>
          <w:trHeight w:val="144"/>
        </w:trPr>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tcPr>
          <w:p>
            <w:pPr>
              <w:spacing w:after="0" w:line="145" w:lineRule="exact"/>
              <w:rPr>
                <w:sz w:val="20"/>
                <w:szCs w:val="20"/>
                <w:color w:val="auto"/>
              </w:rPr>
            </w:pPr>
            <w:r>
              <w:rPr>
                <w:rFonts w:ascii="Arial" w:cs="Arial" w:eastAsia="Arial" w:hAnsi="Arial"/>
                <w:sz w:val="14"/>
                <w:szCs w:val="14"/>
                <w:color w:val="auto"/>
              </w:rPr>
              <w:t>Business Reporting Language (iXBRL) includes (i) the Consolidated Balance Sheets, (ii) the Consolidated Statements of Operations; (iii) the Consolidated</w:t>
            </w:r>
          </w:p>
        </w:tc>
      </w:tr>
      <w:tr>
        <w:trPr>
          <w:trHeight w:val="142"/>
        </w:trPr>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0" w:type="dxa"/>
            <w:vAlign w:val="bottom"/>
            <w:gridSpan w:val="26"/>
          </w:tcPr>
          <w:p>
            <w:pPr>
              <w:spacing w:after="0" w:line="142" w:lineRule="exact"/>
              <w:rPr>
                <w:sz w:val="20"/>
                <w:szCs w:val="20"/>
                <w:color w:val="auto"/>
              </w:rPr>
            </w:pPr>
            <w:r>
              <w:rPr>
                <w:rFonts w:ascii="Arial" w:cs="Arial" w:eastAsia="Arial" w:hAnsi="Arial"/>
                <w:sz w:val="14"/>
                <w:szCs w:val="14"/>
                <w:color w:val="auto"/>
              </w:rPr>
              <w:t>Statements of Comprehensive Loss; (iv) the Consolidated Statements of Redeemable Convertible Preferred Stock and Stockholders’ Equity; (v) the</w:t>
            </w:r>
          </w:p>
        </w:tc>
      </w:tr>
      <w:tr>
        <w:trPr>
          <w:trHeight w:val="176"/>
        </w:trPr>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auto"/>
              </w:rPr>
              <w:t>Consolidated Statements of Cash Flows; and (vi) the Notes to Consolidated Financial Statements.</w:t>
            </w:r>
          </w:p>
        </w:tc>
      </w:tr>
      <w:tr>
        <w:trPr>
          <w:trHeight w:val="186"/>
        </w:trPr>
        <w:tc>
          <w:tcPr>
            <w:tcW w:w="360" w:type="dxa"/>
            <w:vAlign w:val="bottom"/>
            <w:gridSpan w:val="2"/>
          </w:tcPr>
          <w:p>
            <w:pPr>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0" w:type="dxa"/>
            <w:vAlign w:val="bottom"/>
            <w:gridSpan w:val="26"/>
          </w:tcPr>
          <w:p>
            <w:pPr>
              <w:spacing w:after="0"/>
              <w:rPr>
                <w:sz w:val="20"/>
                <w:szCs w:val="20"/>
                <w:color w:val="auto"/>
              </w:rPr>
            </w:pPr>
            <w:r>
              <w:rPr>
                <w:rFonts w:ascii="Arial" w:cs="Arial" w:eastAsia="Arial" w:hAnsi="Arial"/>
                <w:sz w:val="14"/>
                <w:szCs w:val="14"/>
                <w:color w:val="auto"/>
              </w:rPr>
              <w:t>Cover Page Interactive Data File (embedded within the iXBRL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10" w:right="39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31" w:lineRule="exact"/>
        <w:rPr>
          <w:sz w:val="20"/>
          <w:szCs w:val="20"/>
          <w:color w:val="auto"/>
        </w:rPr>
      </w:pPr>
    </w:p>
    <w:p>
      <w:pPr>
        <w:ind w:left="180" w:hanging="175"/>
        <w:spacing w:after="0"/>
        <w:tabs>
          <w:tab w:leader="none" w:pos="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Compensatory plan or arrangement.</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Filed herewith.</w:t>
      </w:r>
    </w:p>
    <w:p>
      <w:pPr>
        <w:spacing w:after="0" w:line="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Furnished herewith.</w:t>
      </w:r>
    </w:p>
    <w:p>
      <w:pPr>
        <w:spacing w:after="0" w:line="9" w:lineRule="exact"/>
        <w:rPr>
          <w:rFonts w:ascii="Arial" w:cs="Arial" w:eastAsia="Arial" w:hAnsi="Arial"/>
          <w:sz w:val="13"/>
          <w:szCs w:val="13"/>
          <w:color w:val="auto"/>
        </w:rPr>
      </w:pPr>
    </w:p>
    <w:p>
      <w:pPr>
        <w:ind w:left="260" w:hanging="255"/>
        <w:spacing w:after="0" w:line="255" w:lineRule="auto"/>
        <w:rPr>
          <w:rFonts w:ascii="Arial" w:cs="Arial" w:eastAsia="Arial" w:hAnsi="Arial"/>
          <w:sz w:val="13"/>
          <w:szCs w:val="13"/>
          <w:color w:val="auto"/>
        </w:rPr>
      </w:pPr>
      <w:r>
        <w:rPr>
          <w:rFonts w:ascii="Arial" w:cs="Arial" w:eastAsia="Arial" w:hAnsi="Arial"/>
          <w:sz w:val="14"/>
          <w:szCs w:val="14"/>
          <w:color w:val="auto"/>
        </w:rPr>
        <w:t xml:space="preserve">^ </w:t>
      </w:r>
      <w:r>
        <w:rPr>
          <w:rFonts w:ascii="Arial" w:cs="Arial" w:eastAsia="Arial" w:hAnsi="Arial"/>
          <w:sz w:val="12"/>
          <w:szCs w:val="12"/>
          <w:color w:val="auto"/>
        </w:rPr>
        <w:t>The registrant has omitted schedules and exhibits pursuant to Item 601(a)(5) of Regulation S-K. The registrant agrees to furnish supplementally a copy of the omitted schedules and exhibits to the</w:t>
      </w:r>
      <w:r>
        <w:rPr>
          <w:rFonts w:ascii="Arial" w:cs="Arial" w:eastAsia="Arial" w:hAnsi="Arial"/>
          <w:sz w:val="14"/>
          <w:szCs w:val="14"/>
          <w:color w:val="auto"/>
        </w:rPr>
        <w:t xml:space="preserve"> </w:t>
      </w:r>
      <w:r>
        <w:rPr>
          <w:rFonts w:ascii="Arial" w:cs="Arial" w:eastAsia="Arial" w:hAnsi="Arial"/>
          <w:sz w:val="12"/>
          <w:szCs w:val="12"/>
          <w:color w:val="auto"/>
        </w:rPr>
        <w:t>SEC upon request.</w:t>
      </w:r>
    </w:p>
    <w:p>
      <w:pPr>
        <w:spacing w:after="0"/>
        <w:rPr>
          <w:rFonts w:ascii="Arial" w:cs="Arial" w:eastAsia="Arial" w:hAnsi="Arial"/>
          <w:sz w:val="13"/>
          <w:szCs w:val="13"/>
          <w:color w:val="auto"/>
        </w:rPr>
      </w:pPr>
      <w:r>
        <w:rPr>
          <w:rFonts w:ascii="Arial" w:cs="Arial" w:eastAsia="Arial" w:hAnsi="Arial"/>
          <w:sz w:val="14"/>
          <w:szCs w:val="14"/>
          <w:color w:val="auto"/>
        </w:rPr>
        <w:t xml:space="preserve">*   </w:t>
      </w:r>
      <w:r>
        <w:rPr>
          <w:rFonts w:ascii="Arial" w:cs="Arial" w:eastAsia="Arial" w:hAnsi="Arial"/>
          <w:sz w:val="12"/>
          <w:szCs w:val="12"/>
          <w:color w:val="auto"/>
        </w:rPr>
        <w:t>Certain portions of this exhibit (indicated by asterisks) have been omitted because they are both not material and are the type that the registrant treats as private or confidential.</w:t>
      </w:r>
    </w:p>
    <w:p>
      <w:pPr>
        <w:spacing w:after="0" w:line="27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Date: April 2, 2026</w:t>
      </w:r>
    </w:p>
    <w:p>
      <w:pPr>
        <w:spacing w:after="0" w:line="168" w:lineRule="exact"/>
        <w:rPr>
          <w:sz w:val="20"/>
          <w:szCs w:val="20"/>
          <w:color w:val="auto"/>
        </w:rPr>
      </w:pPr>
    </w:p>
    <w:tbl>
      <w:tblPr>
        <w:tblLayout w:type="fixed"/>
        <w:tblInd w:w="5340" w:type="dxa"/>
        <w:tblCellMar>
          <w:top w:w="0" w:type="dxa"/>
          <w:left w:w="0" w:type="dxa"/>
          <w:bottom w:w="0" w:type="dxa"/>
          <w:right w:w="0" w:type="dxa"/>
        </w:tblCellMar>
      </w:tblPr>
      <w:tr>
        <w:trPr>
          <w:trHeight w:val="194"/>
        </w:trPr>
        <w:tc>
          <w:tcPr>
            <w:tcW w:w="1420" w:type="dxa"/>
            <w:vAlign w:val="bottom"/>
          </w:tcPr>
          <w:p>
            <w:pPr>
              <w:spacing w:after="0"/>
              <w:rPr>
                <w:sz w:val="20"/>
                <w:szCs w:val="20"/>
                <w:color w:val="auto"/>
              </w:rPr>
            </w:pPr>
            <w:r>
              <w:rPr>
                <w:rFonts w:ascii="Arial" w:cs="Arial" w:eastAsia="Arial" w:hAnsi="Arial"/>
                <w:sz w:val="14"/>
                <w:szCs w:val="14"/>
                <w:b w:val="1"/>
                <w:bCs w:val="1"/>
                <w:color w:val="auto"/>
              </w:rPr>
              <w:t>Navan, Inc.</w:t>
            </w:r>
          </w:p>
        </w:tc>
        <w:tc>
          <w:tcPr>
            <w:tcW w:w="4520" w:type="dxa"/>
            <w:vAlign w:val="bottom"/>
          </w:tcPr>
          <w:p>
            <w:pPr>
              <w:spacing w:after="0"/>
              <w:rPr>
                <w:sz w:val="16"/>
                <w:szCs w:val="16"/>
                <w:color w:val="auto"/>
              </w:rPr>
            </w:pPr>
          </w:p>
        </w:tc>
      </w:tr>
      <w:tr>
        <w:trPr>
          <w:trHeight w:val="383"/>
        </w:trPr>
        <w:tc>
          <w:tcPr>
            <w:tcW w:w="14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Ariel Cohen</w:t>
            </w: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Name:</w:t>
            </w:r>
          </w:p>
        </w:tc>
        <w:tc>
          <w:tcPr>
            <w:tcW w:w="4520" w:type="dxa"/>
            <w:vAlign w:val="bottom"/>
          </w:tcPr>
          <w:p>
            <w:pPr>
              <w:ind w:left="20"/>
              <w:spacing w:after="0"/>
              <w:rPr>
                <w:sz w:val="20"/>
                <w:szCs w:val="20"/>
                <w:color w:val="auto"/>
              </w:rPr>
            </w:pPr>
            <w:r>
              <w:rPr>
                <w:rFonts w:ascii="Arial" w:cs="Arial" w:eastAsia="Arial" w:hAnsi="Arial"/>
                <w:sz w:val="14"/>
                <w:szCs w:val="14"/>
                <w:color w:val="auto"/>
              </w:rPr>
              <w:t>Ariel Cohen</w:t>
            </w: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184"/>
        </w:trPr>
        <w:tc>
          <w:tcPr>
            <w:tcW w:w="14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r>
        <w:trPr>
          <w:trHeight w:val="391"/>
        </w:trPr>
        <w:tc>
          <w:tcPr>
            <w:tcW w:w="14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Aurélien Nolf</w:t>
            </w: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Name:</w:t>
            </w:r>
          </w:p>
        </w:tc>
        <w:tc>
          <w:tcPr>
            <w:tcW w:w="4520" w:type="dxa"/>
            <w:vAlign w:val="bottom"/>
          </w:tcPr>
          <w:p>
            <w:pPr>
              <w:ind w:left="20"/>
              <w:spacing w:after="0"/>
              <w:rPr>
                <w:sz w:val="20"/>
                <w:szCs w:val="20"/>
                <w:color w:val="auto"/>
              </w:rPr>
            </w:pPr>
            <w:r>
              <w:rPr>
                <w:rFonts w:ascii="Arial" w:cs="Arial" w:eastAsia="Arial" w:hAnsi="Arial"/>
                <w:sz w:val="14"/>
                <w:szCs w:val="14"/>
                <w:color w:val="auto"/>
              </w:rPr>
              <w:t>Aurélien Nolf</w:t>
            </w: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4"/>
        </w:trPr>
        <w:tc>
          <w:tcPr>
            <w:tcW w:w="14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(Principal Financial Officer)</w:t>
            </w:r>
          </w:p>
        </w:tc>
      </w:tr>
      <w:tr>
        <w:trPr>
          <w:trHeight w:val="391"/>
        </w:trPr>
        <w:tc>
          <w:tcPr>
            <w:tcW w:w="1420" w:type="dxa"/>
            <w:vAlign w:val="bottom"/>
          </w:tcPr>
          <w:p>
            <w:pPr>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Anne Giviskos</w:t>
            </w: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Name:</w:t>
            </w:r>
          </w:p>
        </w:tc>
        <w:tc>
          <w:tcPr>
            <w:tcW w:w="4520" w:type="dxa"/>
            <w:vAlign w:val="bottom"/>
          </w:tcPr>
          <w:p>
            <w:pPr>
              <w:ind w:left="20"/>
              <w:spacing w:after="0"/>
              <w:rPr>
                <w:sz w:val="20"/>
                <w:szCs w:val="20"/>
                <w:color w:val="auto"/>
              </w:rPr>
            </w:pPr>
            <w:r>
              <w:rPr>
                <w:rFonts w:ascii="Arial" w:cs="Arial" w:eastAsia="Arial" w:hAnsi="Arial"/>
                <w:sz w:val="14"/>
                <w:szCs w:val="14"/>
                <w:color w:val="auto"/>
              </w:rPr>
              <w:t>Anne Giviskos</w:t>
            </w: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Title:</w:t>
            </w:r>
          </w:p>
        </w:tc>
        <w:tc>
          <w:tcPr>
            <w:tcW w:w="4520" w:type="dxa"/>
            <w:vAlign w:val="bottom"/>
          </w:tcPr>
          <w:p>
            <w:pPr>
              <w:ind w:left="20"/>
              <w:spacing w:after="0"/>
              <w:rPr>
                <w:sz w:val="20"/>
                <w:szCs w:val="20"/>
                <w:color w:val="auto"/>
              </w:rPr>
            </w:pPr>
            <w:r>
              <w:rPr>
                <w:rFonts w:ascii="Arial" w:cs="Arial" w:eastAsia="Arial" w:hAnsi="Arial"/>
                <w:sz w:val="14"/>
                <w:szCs w:val="14"/>
                <w:color w:val="auto"/>
              </w:rPr>
              <w:t>Chief Accounting Officer</w:t>
            </w:r>
          </w:p>
        </w:tc>
      </w:tr>
      <w:tr>
        <w:trPr>
          <w:trHeight w:val="184"/>
        </w:trPr>
        <w:tc>
          <w:tcPr>
            <w:tcW w:w="14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Each person whose signature appears below constitutes and appoints Ariel Cohen, Aurélien Nolf, and Howard Baik,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p>
      <w:pPr>
        <w:ind w:left="1280"/>
        <w:spacing w:after="0"/>
        <w:tabs>
          <w:tab w:leader="none" w:pos="6080" w:val="left"/>
          <w:tab w:leader="none" w:pos="1018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Ariel Cohen</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Aurélien Nolf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Aurélien Nolf</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Anne Giviskos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Anne Giviskos</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Ben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Ben Horowitz</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Arif Janmohamed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Arif Janmohamed</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Michael Kourey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Michael Kourey</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Clara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Clara Liang</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Sandesh 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Sandesh Patnam</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Ilan Twig</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Shai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Shai Weiss</w:t>
      </w:r>
    </w:p>
    <w:p>
      <w:pPr>
        <w:spacing w:after="0" w:line="83"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Anré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Anré Williams</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/s/ Oren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4056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Oren Zeev</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Chairperson of the Board of Directors and Chief Executive Officer</w:t>
      </w:r>
    </w:p>
    <w:p>
      <w:pPr>
        <w:jc w:val="center"/>
        <w:ind w:righ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p>
    <w:p>
      <w:pPr>
        <w:spacing w:after="0" w:line="187"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Chief Financial Officer</w:t>
      </w:r>
    </w:p>
    <w:p>
      <w:pPr>
        <w:jc w:val="center"/>
        <w:ind w:righ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Officer</w:t>
      </w:r>
      <w:r>
        <w:rPr>
          <w:rFonts w:ascii="Arial" w:cs="Arial" w:eastAsia="Arial" w:hAnsi="Arial"/>
          <w:sz w:val="14"/>
          <w:szCs w:val="14"/>
          <w:color w:val="auto"/>
        </w:rPr>
        <w:t>)</w:t>
      </w:r>
    </w:p>
    <w:p>
      <w:pPr>
        <w:spacing w:after="0" w:line="155"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Chief Accounting Officer</w:t>
      </w:r>
    </w:p>
    <w:p>
      <w:pPr>
        <w:jc w:val="center"/>
        <w:ind w:righ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Accounting Officer</w:t>
      </w:r>
      <w:r>
        <w:rPr>
          <w:rFonts w:ascii="Arial" w:cs="Arial" w:eastAsia="Arial" w:hAnsi="Arial"/>
          <w:sz w:val="14"/>
          <w:szCs w:val="14"/>
          <w:color w:val="auto"/>
        </w:rPr>
        <w:t>)</w:t>
      </w:r>
    </w:p>
    <w:p>
      <w:pPr>
        <w:spacing w:after="0" w:line="239"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31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31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31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31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31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Chief Technology Officer and Director</w:t>
      </w:r>
    </w:p>
    <w:p>
      <w:pPr>
        <w:spacing w:after="0" w:line="31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285"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31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April 2, 2026</w:t>
      </w:r>
    </w:p>
    <w:p>
      <w:pPr>
        <w:spacing w:after="0" w:line="316" w:lineRule="exact"/>
        <w:rPr>
          <w:sz w:val="20"/>
          <w:szCs w:val="20"/>
          <w:color w:val="auto"/>
        </w:rPr>
      </w:pPr>
    </w:p>
    <w:p>
      <w:pPr>
        <w:sectPr>
          <w:pgSz w:w="11900" w:h="16838" w:orient="portrait"/>
          <w:cols w:equalWidth="0" w:num="3">
            <w:col w:w="3440" w:space="720"/>
            <w:col w:w="5040" w:space="720"/>
            <w:col w:w="1360"/>
          </w:cols>
          <w:pgMar w:left="300" w:top="21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210" w:right="31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following is a brief description of the securities of Navan, Inc. (“us,” “our,” “we,” or the “Company”) registered pursuant to Section 12 of the Securities Exchange Act of 1934, as amended (the “Exchange Act”). The following description of the Company’s Class A common stock, par value $0.00000625 per share, is subject in all respects to the General Corporation Law of the State of Delaware (the “DGCL”), our amended and restated certificate of incorporation and our amended and restated bylaws.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a class of common stock divided into two series, Class A common stock and Class B common stock, and it authorizes shares of undesignated preferred stock, the rights, preferences, and privileges of which may be designated from time to time by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authorized capital stock consists of 2,070,000,000 shares, all with a par value of $0.00000625 per share, of which:</w:t>
      </w:r>
    </w:p>
    <w:p>
      <w:pPr>
        <w:spacing w:after="0" w:line="189"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2,000,000,000 shares are designated as Class A common stock;</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 shares are designated as Class B common stock;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 shares are designated as preferred stock.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and Class B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of Class A common stock held on all matters submitted to a vote of stockholders, and holders of our Class B common stock are entitled to 30 votes for each share of Class B common stock held on all matters submitted to a vote of stockholders.</w:t>
      </w:r>
    </w:p>
    <w:p>
      <w:pPr>
        <w:spacing w:after="0" w:line="188" w:lineRule="exact"/>
        <w:rPr>
          <w:sz w:val="20"/>
          <w:szCs w:val="20"/>
          <w:color w:val="auto"/>
        </w:rPr>
      </w:pPr>
    </w:p>
    <w:p>
      <w:pPr>
        <w:spacing w:after="0" w:line="382" w:lineRule="auto"/>
        <w:rPr>
          <w:sz w:val="20"/>
          <w:szCs w:val="20"/>
          <w:color w:val="auto"/>
        </w:rPr>
      </w:pPr>
      <w:r>
        <w:rPr>
          <w:rFonts w:ascii="Times New Roman" w:cs="Times New Roman" w:eastAsia="Times New Roman" w:hAnsi="Times New Roman"/>
          <w:sz w:val="14"/>
          <w:szCs w:val="14"/>
          <w:color w:val="auto"/>
        </w:rPr>
        <w:t>Holders of shares of our Class A common stock and Class B common stock vote together and not as separate series, unless otherwise required by Delaware law. Delaware law could require either holders of our Class A common stock or our Class B common stock to vote separately as a single series in the following circumstances:</w:t>
      </w:r>
    </w:p>
    <w:p>
      <w:pPr>
        <w:spacing w:after="0" w:line="114" w:lineRule="exact"/>
        <w:rPr>
          <w:sz w:val="20"/>
          <w:szCs w:val="20"/>
          <w:color w:val="auto"/>
        </w:rPr>
      </w:pPr>
    </w:p>
    <w:p>
      <w:pPr>
        <w:ind w:left="520" w:hanging="260"/>
        <w:spacing w:after="0" w:line="26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our amended and restated certificate of incorporation to increase or decrease the par value of a class or series of our capital stock, then that class or series would be required to vote separately to approve the proposed amendment; and</w:t>
      </w:r>
    </w:p>
    <w:p>
      <w:pPr>
        <w:ind w:left="520" w:hanging="260"/>
        <w:spacing w:after="0" w:line="266"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our amended and restated certificate of incorporation in a manner that alters or changes the powers, preferences, or special rights of a class or series of our capital stock in a manner that affected its holders adversely, then that class or series would be required to vote separately to approve the proposed amendment.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that a separate vote of the holders of our Class B common stock is required in connection with any amendment to our amended and restated certificate of incorporation that would alter the rights of the Class B common stock, reclassify any shares of Class A common stock into shares senior to the Class B common stock, or authorize the issuance of any shares of capital stock with voting rights greater than one vote per share (other than the Class B common stock). We have not provided for cumulative voting for the election of directors in our amended and restated certificate of incorporation.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not entitled to preemptive rights and is not subject to redemption or sinking fund provisions.</w:t>
      </w:r>
    </w:p>
    <w:p>
      <w:pPr>
        <w:sectPr>
          <w:pgSz w:w="11900" w:h="16838" w:orient="portrait"/>
          <w:cols w:equalWidth="0" w:num="1">
            <w:col w:w="11280"/>
          </w:cols>
          <w:pgMar w:left="300" w:top="124"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Class B Common Stock</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Class B common stock is convertible into one share of our Class A common stock at any time and will convert automatically upon certain sales or transfers. Our amended and restated certificate of incorporation also provides for certain permitted transfers by holders of shares of Class B common stock that will not trigger conversion to Class A common stock, including transfers effected for estate planning where voting control with respect to the shares of Class B common stock is retained by or granted to Ariel Cohen or Ilan Twig, as applicable. Additionally, each outstanding share of Class B common stock will convert automatically into a share of Class A common stock upon the earliest to occur of: (i) the date fixed by our board of directors that is no less than 61 days and no more than 180 days following the first date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immediately following the completion of our initial public offering; (ii) the last trading day of the fiscal year following October 31, 2035;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 on which Mr. Cohen is terminated for cause (as defined in our amended and restated certificate of incorporation); and (v) twelve months after Mr. Cohen’s death or disability (as defined in our amended and restated certificate of incorporation).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converted into Class A common stock, the Class B common stock will not be reissued.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Founder Voting Proxy</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Mr. Twig has entered into a voting proxy in favor of Mr. Cohen such that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in favor Mr. Cohen, pursuant to which Mr. Cohen will have exclusive voting control over such shares.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affirmative vote of the holders of a majority of the voting stock, without a separate vote of the holders of the preferred stock, irrespective of the provisions of Section 242(b)</w:t>
      </w:r>
    </w:p>
    <w:p>
      <w:pPr>
        <w:spacing w:after="0" w:line="1" w:lineRule="exact"/>
        <w:rPr>
          <w:sz w:val="20"/>
          <w:szCs w:val="20"/>
          <w:color w:val="auto"/>
        </w:rPr>
      </w:pPr>
    </w:p>
    <w:p>
      <w:pPr>
        <w:jc w:val="both"/>
        <w:ind w:firstLine="5"/>
        <w:spacing w:after="0" w:line="247" w:lineRule="auto"/>
        <w:tabs>
          <w:tab w:leader="none" w:pos="21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Class A common stock and the voting and other rights of the holders of our Class A common stock and Class B common stock. We have no current plan to issue any shares of preferred stock.</w:t>
      </w:r>
    </w:p>
    <w:p>
      <w:pPr>
        <w:sectPr>
          <w:pgSz w:w="11900" w:h="16838" w:orient="portrait"/>
          <w:cols w:equalWidth="0" w:num="1">
            <w:col w:w="11280"/>
          </w:cols>
          <w:pgMar w:left="300" w:top="1332"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provisions of DGCL, our amended and restated certificate of incorporation, and our amended and restated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subject to the provisions of Section 203 of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52" w:lineRule="exact"/>
        <w:rPr>
          <w:sz w:val="20"/>
          <w:szCs w:val="20"/>
          <w:color w:val="auto"/>
        </w:rPr>
      </w:pPr>
    </w:p>
    <w:p>
      <w:pPr>
        <w:ind w:left="520" w:hanging="260"/>
        <w:spacing w:after="0" w:line="26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our board of directors approved either the business combination or the transaction, which resulted in the stockholder becoming an interested stockholder;</w:t>
      </w:r>
    </w:p>
    <w:p>
      <w:pPr>
        <w:jc w:val="both"/>
        <w:ind w:left="520" w:hanging="260"/>
        <w:spacing w:after="0" w:line="25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ind w:left="520" w:hanging="260"/>
        <w:spacing w:after="0" w:line="266"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168"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of transfer by the corporation of any stock of the corporation to the interested stockholder;</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jc w:val="both"/>
        <w:ind w:left="520" w:hanging="260"/>
        <w:spacing w:after="0" w:line="259"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 Provisions</w:t>
      </w:r>
    </w:p>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44" w:lineRule="exact"/>
        <w:rPr>
          <w:sz w:val="20"/>
          <w:szCs w:val="20"/>
          <w:color w:val="auto"/>
        </w:rPr>
      </w:pPr>
    </w:p>
    <w:p>
      <w:pPr>
        <w:jc w:val="both"/>
        <w:ind w:left="520" w:hanging="260"/>
        <w:spacing w:after="0" w:line="265"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Unequal Voting Rights. </w:t>
      </w:r>
      <w:r>
        <w:rPr>
          <w:rFonts w:ascii="Times New Roman" w:cs="Times New Roman" w:eastAsia="Times New Roman" w:hAnsi="Times New Roman"/>
          <w:sz w:val="14"/>
          <w:szCs w:val="14"/>
          <w:color w:val="auto"/>
        </w:rPr>
        <w:t>Our amended and restated certificate of incorporation provides for a dual series common stock structure pursuant to which Ariel Cohen and Ilan Twig, as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Class B common stock, may have significant influence over the outcome of matters requiring stockholder approval, even if they own significantly less than a majority of the shares of our outstanding Class A common stock and Class B common stock, including the election of directors and significant corporate transactions, such as a merger or other sale of our company or its assets.</w:t>
      </w:r>
    </w:p>
    <w:p>
      <w:pPr>
        <w:spacing w:after="0" w:line="15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Board of Directors Vacancies. </w:t>
      </w:r>
      <w:r>
        <w:rPr>
          <w:rFonts w:ascii="Times New Roman" w:cs="Times New Roman" w:eastAsia="Times New Roman" w:hAnsi="Times New Roman"/>
          <w:sz w:val="14"/>
          <w:szCs w:val="14"/>
          <w:color w:val="auto"/>
        </w:rPr>
        <w:t>Our amended and restated certificate of incorporation and our amended and restated bylaws authorize generally only our board of directors to fill vacant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directorships resulting from</w:t>
      </w:r>
    </w:p>
    <w:p>
      <w:pPr>
        <w:sectPr>
          <w:pgSz w:w="11900" w:h="16838" w:orient="portrait"/>
          <w:cols w:equalWidth="0" w:num="1">
            <w:col w:w="11280"/>
          </w:cols>
          <w:pgMar w:left="300" w:top="1141" w:right="319" w:bottom="1440" w:gutter="0" w:footer="0" w:header="0"/>
        </w:sectPr>
      </w:pPr>
    </w:p>
    <w:bookmarkStart w:id="164" w:name="page165"/>
    <w:bookmarkEnd w:id="164"/>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entitled to vote generally at an election of directors.</w:t>
      </w:r>
    </w:p>
    <w:p>
      <w:pPr>
        <w:spacing w:after="0" w:line="155" w:lineRule="exact"/>
        <w:rPr>
          <w:sz w:val="20"/>
          <w:szCs w:val="20"/>
          <w:color w:val="auto"/>
        </w:rPr>
      </w:pPr>
    </w:p>
    <w:p>
      <w:pPr>
        <w:jc w:val="both"/>
        <w:ind w:left="260" w:hanging="260"/>
        <w:spacing w:after="0" w:line="271" w:lineRule="auto"/>
        <w:tabs>
          <w:tab w:leader="none" w:pos="25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Classified Board. </w:t>
      </w:r>
      <w:r>
        <w:rPr>
          <w:rFonts w:ascii="Times New Roman" w:cs="Times New Roman" w:eastAsia="Times New Roman" w:hAnsi="Times New Roman"/>
          <w:sz w:val="14"/>
          <w:szCs w:val="14"/>
          <w:color w:val="auto"/>
        </w:rPr>
        <w:t>Our amended and restated certificate of incorporation and our amended and restated bylaws provide that our board of directors is classified into three classes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existence of a classified board of directors could delay a successful tender offeror from obtaining majority control of our board of directors, and the prospect of that delay might deter a potential offeror.</w:t>
      </w:r>
    </w:p>
    <w:p>
      <w:pPr>
        <w:spacing w:after="0" w:line="154" w:lineRule="exact"/>
        <w:rPr>
          <w:rFonts w:ascii="Times New Roman" w:cs="Times New Roman" w:eastAsia="Times New Roman" w:hAnsi="Times New Roman"/>
          <w:sz w:val="14"/>
          <w:szCs w:val="14"/>
          <w:color w:val="auto"/>
        </w:rPr>
      </w:pPr>
    </w:p>
    <w:p>
      <w:pPr>
        <w:ind w:left="260" w:hanging="260"/>
        <w:spacing w:after="0" w:line="290" w:lineRule="auto"/>
        <w:tabs>
          <w:tab w:leader="none" w:pos="25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Directors Removed Only for Cause. </w:t>
      </w:r>
      <w:r>
        <w:rPr>
          <w:rFonts w:ascii="Times New Roman" w:cs="Times New Roman" w:eastAsia="Times New Roman" w:hAnsi="Times New Roman"/>
          <w:sz w:val="14"/>
          <w:szCs w:val="14"/>
          <w:color w:val="auto"/>
        </w:rPr>
        <w:t>Our amended and restated certificate of incorporation provides that stockholders may remove directors only for cause and only by the affirmative vote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of at least 66 2/3% of the voting power of the then-outstanding capital stock.</w:t>
      </w:r>
    </w:p>
    <w:p>
      <w:pPr>
        <w:spacing w:after="0" w:line="141" w:lineRule="exact"/>
        <w:rPr>
          <w:rFonts w:ascii="Times New Roman" w:cs="Times New Roman" w:eastAsia="Times New Roman" w:hAnsi="Times New Roman"/>
          <w:sz w:val="14"/>
          <w:szCs w:val="14"/>
          <w:color w:val="auto"/>
        </w:rPr>
      </w:pPr>
    </w:p>
    <w:p>
      <w:pPr>
        <w:jc w:val="both"/>
        <w:ind w:left="260" w:hanging="260"/>
        <w:spacing w:after="0" w:line="259" w:lineRule="auto"/>
        <w:tabs>
          <w:tab w:leader="none" w:pos="25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Supermajority Requirements for Amendments of Our Amended and Restated Certificate of Incorporation and Amended and Restated Bylaws. </w:t>
      </w:r>
      <w:r>
        <w:rPr>
          <w:rFonts w:ascii="Times New Roman" w:cs="Times New Roman" w:eastAsia="Times New Roman" w:hAnsi="Times New Roman"/>
          <w:sz w:val="14"/>
          <w:szCs w:val="14"/>
          <w:color w:val="auto"/>
        </w:rPr>
        <w:t>Our amended and restated certificate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incorporation further provides that the affirmative vote of holders of at least 66 2/3% of the voting power of the then-outstanding shares of capital stock is required to amend certain provisions of our amended and restated certificate of incorporation, including provisions relating to the classified board, the size of our board of directors, removal of directors, special meetings, actions by written consent of our stockholders, and designation of our preferred stock. In addition, the affirmative vote of holders of at least 66 2/3% of the voting power of each of our Class A common stock and Class B common stock, voting separately by series, is required to amend the provisions of our amended and restated certificate of incorporation relating to the terms of our Class A common stock or Class B common stock. The affirmative vote of holders of at least 66 2/3% of the voting power of all of the then-outstanding shares of capital stock is required to amend or repeal our amended and restated bylaws, although our amended and restated bylaws may be amended by a simple majority vote of our board of directors.</w:t>
      </w:r>
    </w:p>
    <w:p>
      <w:pPr>
        <w:spacing w:after="0" w:line="163" w:lineRule="exact"/>
        <w:rPr>
          <w:rFonts w:ascii="Times New Roman" w:cs="Times New Roman" w:eastAsia="Times New Roman" w:hAnsi="Times New Roman"/>
          <w:sz w:val="14"/>
          <w:szCs w:val="14"/>
          <w:color w:val="auto"/>
        </w:rPr>
      </w:pPr>
    </w:p>
    <w:p>
      <w:pPr>
        <w:jc w:val="both"/>
        <w:ind w:left="260" w:hanging="260"/>
        <w:spacing w:after="0" w:line="262" w:lineRule="auto"/>
        <w:tabs>
          <w:tab w:leader="none" w:pos="25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Stockholder Action; Special Meetings of Stockholders. </w:t>
      </w:r>
      <w:r>
        <w:rPr>
          <w:rFonts w:ascii="Times New Roman" w:cs="Times New Roman" w:eastAsia="Times New Roman" w:hAnsi="Times New Roman"/>
          <w:sz w:val="14"/>
          <w:szCs w:val="14"/>
          <w:color w:val="auto"/>
        </w:rPr>
        <w:t>Our amended and restated certificate of incorporation provides that our stockholders may not take action by written consent, but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only take action at annual or special meetings of our stockholders. As a result, holders of our capital stock are not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a majority of our board of directors, thus prohibiting a stockholder from calling a special meeting. These provisions might delay the ability of our stockholders to force consideration of a proposal or for stockholders to take any action, including the removal of directors.</w:t>
      </w:r>
    </w:p>
    <w:p>
      <w:pPr>
        <w:spacing w:after="0" w:line="161" w:lineRule="exact"/>
        <w:rPr>
          <w:rFonts w:ascii="Times New Roman" w:cs="Times New Roman" w:eastAsia="Times New Roman" w:hAnsi="Times New Roman"/>
          <w:sz w:val="14"/>
          <w:szCs w:val="14"/>
          <w:color w:val="auto"/>
        </w:rPr>
      </w:pPr>
    </w:p>
    <w:p>
      <w:pPr>
        <w:jc w:val="both"/>
        <w:ind w:left="260" w:hanging="260"/>
        <w:spacing w:after="0" w:line="262" w:lineRule="auto"/>
        <w:tabs>
          <w:tab w:leader="none" w:pos="25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Advance Notice Requirements for Stockholder Proposals and Director Nominations. </w:t>
      </w:r>
      <w:r>
        <w:rPr>
          <w:rFonts w:ascii="Times New Roman" w:cs="Times New Roman" w:eastAsia="Times New Roman" w:hAnsi="Times New Roman"/>
          <w:sz w:val="14"/>
          <w:szCs w:val="14"/>
          <w:color w:val="auto"/>
        </w:rPr>
        <w:t>Our amended and restated bylaws provide advance notice procedures for stockholders seeking to bring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61" w:lineRule="exact"/>
        <w:rPr>
          <w:rFonts w:ascii="Times New Roman" w:cs="Times New Roman" w:eastAsia="Times New Roman" w:hAnsi="Times New Roman"/>
          <w:sz w:val="14"/>
          <w:szCs w:val="14"/>
          <w:color w:val="auto"/>
        </w:rPr>
      </w:pPr>
    </w:p>
    <w:p>
      <w:pPr>
        <w:ind w:left="260" w:hanging="260"/>
        <w:spacing w:after="0" w:line="290" w:lineRule="auto"/>
        <w:tabs>
          <w:tab w:leader="none" w:pos="25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DGCL provides that stockholders are not entitled to the right to cumulate votes in the election of directors unless a corporation’s certificate of incorporation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provides otherwise. Our amended and restated certificate of incorporation and amended and restated bylaws do not provide for cumulative voting.</w:t>
      </w:r>
    </w:p>
    <w:p>
      <w:pPr>
        <w:sectPr>
          <w:pgSz w:w="11900" w:h="16838" w:orient="portrait"/>
          <w:cols w:equalWidth="0" w:num="1">
            <w:col w:w="11020"/>
          </w:cols>
          <w:pgMar w:left="560" w:top="1143" w:right="319" w:bottom="1440" w:gutter="0" w:footer="0" w:header="0"/>
        </w:sectPr>
      </w:pPr>
    </w:p>
    <w:bookmarkStart w:id="165" w:name="page166"/>
    <w:bookmarkEnd w:id="165"/>
    <w:p>
      <w:pPr>
        <w:jc w:val="both"/>
        <w:ind w:left="520" w:hanging="260"/>
        <w:spacing w:after="0" w:line="271"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Issuance of Undesignated Preferred Stock. </w:t>
      </w:r>
      <w:r>
        <w:rPr>
          <w:rFonts w:ascii="Times New Roman" w:cs="Times New Roman" w:eastAsia="Times New Roman" w:hAnsi="Times New Roman"/>
          <w:sz w:val="14"/>
          <w:szCs w:val="14"/>
          <w:color w:val="auto"/>
        </w:rPr>
        <w:t>Our board of directors has the authority, without further action by the stockholders, to issue up to 20,000,000 shares of undesignated preferred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55"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Choice of Forum. </w:t>
      </w:r>
      <w:r>
        <w:rPr>
          <w:rFonts w:ascii="Times New Roman" w:cs="Times New Roman" w:eastAsia="Times New Roman" w:hAnsi="Times New Roman"/>
          <w:sz w:val="14"/>
          <w:szCs w:val="14"/>
          <w:color w:val="auto"/>
        </w:rPr>
        <w:t>In addition, our amended and restated certificate of incorporation provides that, to the fullest extent permitted by law, the Court of Chancery of the State of Delaware is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any action asserting a claim against us that is governed by the internal affairs doctrine; or any action to interpret, apply, enforce, or determine the validity of the amended and restated certificate of incorporation or amended and restated bylaws.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contains a Federal Forum Provision. While there can be no assurance that federal or state courts will follow the holding of the Supreme Court of the State of Delaware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Further,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If a court were to find the Federal 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transfer agent and registrar for our Class A common stock and Class B common stock is Computershare Trust Company, N.A. The transfer agent’s address is 150 Royall Street, Canton, Massachusetts 02021.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“NAVN.”</w:t>
      </w:r>
    </w:p>
    <w:p>
      <w:pPr>
        <w:sectPr>
          <w:pgSz w:w="11900" w:h="16838" w:orient="portrait"/>
          <w:cols w:equalWidth="0" w:num="1">
            <w:col w:w="11280"/>
          </w:cols>
          <w:pgMar w:left="300" w:top="1141" w:right="319" w:bottom="1440"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1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05650" cy="5601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369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05650" cy="833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1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05650" cy="560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94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05650" cy="559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ind w:right="300"/>
        <w:spacing w:after="0" w:line="275" w:lineRule="auto"/>
        <w:rPr>
          <w:sz w:val="20"/>
          <w:szCs w:val="20"/>
          <w:color w:val="auto"/>
        </w:rPr>
      </w:pPr>
      <w:r>
        <w:rPr>
          <w:rFonts w:ascii="Times New Roman" w:cs="Times New Roman" w:eastAsia="Times New Roman" w:hAnsi="Times New Roman"/>
          <w:sz w:val="16"/>
          <w:szCs w:val="16"/>
          <w:b w:val="1"/>
          <w:bCs w:val="1"/>
          <w:color w:val="auto"/>
        </w:rPr>
        <w:t>CERTAIN CONFIDENTIAL INFORMATION CONTAINED IN THIS DOCUMENT, MARKED BY [***], HAS BEEN OMITTED BECAUSE IT IS BOTH (I) NOT MATERIAL AND (II) IS THE TYPE THAT NAVAN, INC.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CONFORMED COPY</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 dated as of February 17, 2023</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2 dated as of July 28, 2023</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3 dated as of October 12, 2023</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4 dated as of March 11, 2024</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5 dated as of April 19, 2024</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6 dated as of August 2, 2024</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7 dated as of November 15, 2024</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8 dated as of February 24, 2025</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9 dated as of March 6, 2025</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10 dated as of April 16, 2025</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11 dated as of October 15, 2025</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12 dated as of November 12, 2025</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13 dated as of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REVOLVING CREDIT AND SECURITY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Dated as of November 18, 2022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among</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LIQUID LABS SPV, LLC,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Borrower,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LENDERS FROM TIME TO TIME PARTIES 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GOLDMAN SACHS BANK USA,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Administrative Agent</w:t>
      </w:r>
    </w:p>
    <w:p>
      <w:pPr>
        <w:sectPr>
          <w:pgSz w:w="11900" w:h="16838" w:orient="portrait"/>
          <w:cols w:equalWidth="0" w:num="1">
            <w:col w:w="11280"/>
          </w:cols>
          <w:pgMar w:left="300" w:top="120" w:right="319" w:bottom="1440" w:gutter="0" w:footer="0" w:header="0"/>
        </w:sectPr>
      </w:pPr>
    </w:p>
    <w:bookmarkStart w:id="199" w:name="page200"/>
    <w:bookmarkEnd w:id="199"/>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1.01</w:t>
            </w:r>
          </w:p>
        </w:tc>
        <w:tc>
          <w:tcPr>
            <w:tcW w:w="780" w:type="dxa"/>
            <w:vAlign w:val="bottom"/>
            <w:tcBorders>
              <w:bottom w:val="single" w:sz="8" w:color="0000FF"/>
            </w:tcBorders>
            <w:gridSpan w:val="4"/>
          </w:tcPr>
          <w:p>
            <w:pPr>
              <w:ind w:left="80"/>
              <w:spacing w:after="0"/>
              <w:rPr>
                <w:sz w:val="20"/>
                <w:szCs w:val="20"/>
                <w:color w:val="auto"/>
              </w:rPr>
            </w:pPr>
            <w:r>
              <w:rPr>
                <w:rFonts w:ascii="Times New Roman" w:cs="Times New Roman" w:eastAsia="Times New Roman" w:hAnsi="Times New Roman"/>
                <w:sz w:val="16"/>
                <w:szCs w:val="16"/>
                <w:color w:val="0000FF"/>
                <w:w w:val="94"/>
              </w:rPr>
              <w:t>Definitions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1.02</w:t>
            </w:r>
          </w:p>
        </w:tc>
        <w:tc>
          <w:tcPr>
            <w:tcW w:w="1460" w:type="dxa"/>
            <w:vAlign w:val="bottom"/>
            <w:tcBorders>
              <w:bottom w:val="single" w:sz="8" w:color="0000FF"/>
            </w:tcBorders>
            <w:gridSpan w:val="11"/>
          </w:tcPr>
          <w:p>
            <w:pPr>
              <w:ind w:left="80"/>
              <w:spacing w:after="0" w:line="161" w:lineRule="exact"/>
              <w:rPr>
                <w:sz w:val="20"/>
                <w:szCs w:val="20"/>
                <w:color w:val="auto"/>
              </w:rPr>
            </w:pPr>
            <w:r>
              <w:rPr>
                <w:rFonts w:ascii="Times New Roman" w:cs="Times New Roman" w:eastAsia="Times New Roman" w:hAnsi="Times New Roman"/>
                <w:sz w:val="16"/>
                <w:szCs w:val="16"/>
                <w:color w:val="0000FF"/>
                <w:w w:val="96"/>
              </w:rPr>
              <w:t>Rules of Construction</w:t>
            </w:r>
          </w:p>
        </w:tc>
        <w:tc>
          <w:tcPr>
            <w:tcW w:w="48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1.03</w:t>
            </w:r>
          </w:p>
        </w:tc>
        <w:tc>
          <w:tcPr>
            <w:tcW w:w="1940" w:type="dxa"/>
            <w:vAlign w:val="bottom"/>
            <w:tcBorders>
              <w:bottom w:val="single" w:sz="8" w:color="0000FF"/>
            </w:tcBorders>
            <w:gridSpan w:val="17"/>
          </w:tcPr>
          <w:p>
            <w:pPr>
              <w:ind w:left="80"/>
              <w:spacing w:after="0" w:line="171" w:lineRule="exact"/>
              <w:rPr>
                <w:sz w:val="20"/>
                <w:szCs w:val="20"/>
                <w:color w:val="auto"/>
              </w:rPr>
            </w:pPr>
            <w:r>
              <w:rPr>
                <w:rFonts w:ascii="Times New Roman" w:cs="Times New Roman" w:eastAsia="Times New Roman" w:hAnsi="Times New Roman"/>
                <w:sz w:val="16"/>
                <w:szCs w:val="16"/>
                <w:color w:val="0000FF"/>
                <w:w w:val="96"/>
              </w:rPr>
              <w:t>Computation of Time Periods</w:t>
            </w:r>
          </w:p>
        </w:tc>
        <w:tc>
          <w:tcPr>
            <w:tcW w:w="120" w:type="dxa"/>
            <w:vAlign w:val="bottom"/>
            <w:gridSpan w:val="3"/>
          </w:tcPr>
          <w:p>
            <w:pPr>
              <w:spacing w:after="0"/>
              <w:rPr>
                <w:sz w:val="14"/>
                <w:szCs w:val="14"/>
                <w:color w:val="auto"/>
              </w:rPr>
            </w:pPr>
          </w:p>
        </w:tc>
        <w:tc>
          <w:tcPr>
            <w:tcW w:w="24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6"/>
                <w:szCs w:val="16"/>
                <w:color w:val="auto"/>
                <w:w w:val="99"/>
              </w:rPr>
              <w:t>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rPr>
              <w:t>Section 1.04</w:t>
            </w:r>
          </w:p>
        </w:tc>
        <w:tc>
          <w:tcPr>
            <w:tcW w:w="2640" w:type="dxa"/>
            <w:vAlign w:val="bottom"/>
            <w:gridSpan w:val="31"/>
          </w:tcPr>
          <w:p>
            <w:pPr>
              <w:ind w:left="80"/>
              <w:spacing w:after="0" w:line="161" w:lineRule="exact"/>
              <w:rPr>
                <w:sz w:val="20"/>
                <w:szCs w:val="20"/>
                <w:color w:val="auto"/>
              </w:rPr>
            </w:pPr>
            <w:r>
              <w:rPr>
                <w:rFonts w:ascii="Times New Roman" w:cs="Times New Roman" w:eastAsia="Times New Roman" w:hAnsi="Times New Roman"/>
                <w:sz w:val="16"/>
                <w:szCs w:val="16"/>
                <w:color w:val="0000FF"/>
                <w:w w:val="98"/>
              </w:rPr>
              <w:t>Collateral Value Calculation Procedures</w:t>
            </w:r>
          </w:p>
        </w:tc>
        <w:tc>
          <w:tcPr>
            <w:tcW w:w="3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1.05</w:t>
            </w:r>
          </w:p>
        </w:tc>
        <w:tc>
          <w:tcPr>
            <w:tcW w:w="780" w:type="dxa"/>
            <w:vAlign w:val="bottom"/>
            <w:tcBorders>
              <w:top w:val="single" w:sz="8" w:color="0000FF"/>
            </w:tcBorders>
            <w:gridSpan w:val="4"/>
          </w:tcPr>
          <w:p>
            <w:pPr>
              <w:ind w:left="80"/>
              <w:spacing w:after="0" w:line="171" w:lineRule="exact"/>
              <w:rPr>
                <w:sz w:val="20"/>
                <w:szCs w:val="20"/>
                <w:color w:val="auto"/>
              </w:rPr>
            </w:pPr>
            <w:r>
              <w:rPr>
                <w:rFonts w:ascii="Times New Roman" w:cs="Times New Roman" w:eastAsia="Times New Roman" w:hAnsi="Times New Roman"/>
                <w:sz w:val="16"/>
                <w:szCs w:val="16"/>
                <w:color w:val="0000FF"/>
              </w:rPr>
              <w:t>Divisions</w:t>
            </w:r>
          </w:p>
        </w:tc>
        <w:tc>
          <w:tcPr>
            <w:tcW w:w="220" w:type="dxa"/>
            <w:vAlign w:val="bottom"/>
            <w:tcBorders>
              <w:top w:val="single" w:sz="8" w:color="0000FF"/>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51</w:t>
            </w: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ARTICLE 2. ADVANCES</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2.01</w:t>
            </w:r>
          </w:p>
        </w:tc>
        <w:tc>
          <w:tcPr>
            <w:tcW w:w="1680" w:type="dxa"/>
            <w:vAlign w:val="bottom"/>
            <w:tcBorders>
              <w:bottom w:val="single" w:sz="8" w:color="0000FF"/>
            </w:tcBorders>
            <w:gridSpan w:val="15"/>
          </w:tcPr>
          <w:p>
            <w:pPr>
              <w:ind w:left="80"/>
              <w:spacing w:after="0"/>
              <w:rPr>
                <w:sz w:val="20"/>
                <w:szCs w:val="20"/>
                <w:color w:val="auto"/>
              </w:rPr>
            </w:pPr>
            <w:r>
              <w:rPr>
                <w:rFonts w:ascii="Times New Roman" w:cs="Times New Roman" w:eastAsia="Times New Roman" w:hAnsi="Times New Roman"/>
                <w:sz w:val="16"/>
                <w:szCs w:val="16"/>
                <w:color w:val="0000FF"/>
                <w:w w:val="96"/>
              </w:rPr>
              <w:t>Revolving Credit Facility</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2.02</w:t>
            </w:r>
          </w:p>
        </w:tc>
        <w:tc>
          <w:tcPr>
            <w:tcW w:w="1620" w:type="dxa"/>
            <w:vAlign w:val="bottom"/>
            <w:tcBorders>
              <w:bottom w:val="single" w:sz="8" w:color="0000FF"/>
            </w:tcBorders>
            <w:gridSpan w:val="14"/>
          </w:tcPr>
          <w:p>
            <w:pPr>
              <w:ind w:left="80"/>
              <w:spacing w:after="0" w:line="171" w:lineRule="exact"/>
              <w:rPr>
                <w:sz w:val="20"/>
                <w:szCs w:val="20"/>
                <w:color w:val="auto"/>
              </w:rPr>
            </w:pPr>
            <w:r>
              <w:rPr>
                <w:rFonts w:ascii="Times New Roman" w:cs="Times New Roman" w:eastAsia="Times New Roman" w:hAnsi="Times New Roman"/>
                <w:sz w:val="16"/>
                <w:szCs w:val="16"/>
                <w:color w:val="0000FF"/>
                <w:w w:val="96"/>
              </w:rPr>
              <w:t>Making of the Advances</w:t>
            </w:r>
          </w:p>
        </w:tc>
        <w:tc>
          <w:tcPr>
            <w:tcW w:w="60" w:type="dxa"/>
            <w:vAlign w:val="bottom"/>
          </w:tcPr>
          <w:p>
            <w:pPr>
              <w:spacing w:after="0"/>
              <w:rPr>
                <w:sz w:val="14"/>
                <w:szCs w:val="14"/>
                <w:color w:val="auto"/>
              </w:rPr>
            </w:pPr>
          </w:p>
        </w:tc>
        <w:tc>
          <w:tcPr>
            <w:tcW w:w="2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900" w:type="dxa"/>
            <w:vAlign w:val="bottom"/>
            <w:gridSpan w:val="21"/>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2.03  Evidence of Indebtedness.  </w:t>
            </w:r>
            <w:r>
              <w:rPr>
                <w:rFonts w:ascii="Times New Roman" w:cs="Times New Roman" w:eastAsia="Times New Roman" w:hAnsi="Times New Roman"/>
                <w:sz w:val="16"/>
                <w:szCs w:val="16"/>
                <w:color w:val="000000"/>
              </w:rPr>
              <w:t>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2.04</w:t>
            </w:r>
          </w:p>
        </w:tc>
        <w:tc>
          <w:tcPr>
            <w:tcW w:w="3080" w:type="dxa"/>
            <w:vAlign w:val="bottom"/>
            <w:gridSpan w:val="35"/>
          </w:tcPr>
          <w:p>
            <w:pPr>
              <w:ind w:left="80"/>
              <w:spacing w:after="0" w:line="171" w:lineRule="exact"/>
              <w:rPr>
                <w:sz w:val="20"/>
                <w:szCs w:val="20"/>
                <w:color w:val="auto"/>
              </w:rPr>
            </w:pPr>
            <w:r>
              <w:rPr>
                <w:rFonts w:ascii="Times New Roman" w:cs="Times New Roman" w:eastAsia="Times New Roman" w:hAnsi="Times New Roman"/>
                <w:sz w:val="16"/>
                <w:szCs w:val="16"/>
                <w:color w:val="0000FF"/>
                <w:w w:val="98"/>
              </w:rPr>
              <w:t>Payment of Principal, Interest and Certain Fees</w:t>
            </w:r>
          </w:p>
        </w:tc>
        <w:tc>
          <w:tcPr>
            <w:tcW w:w="1420" w:type="dxa"/>
            <w:vAlign w:val="bottom"/>
          </w:tcPr>
          <w:p>
            <w:pPr>
              <w:jc w:val="right"/>
              <w:ind w:right="1082"/>
              <w:spacing w:after="0" w:line="171" w:lineRule="exact"/>
              <w:rPr>
                <w:sz w:val="20"/>
                <w:szCs w:val="20"/>
                <w:color w:val="auto"/>
              </w:rPr>
            </w:pPr>
            <w:r>
              <w:rPr>
                <w:rFonts w:ascii="Times New Roman" w:cs="Times New Roman" w:eastAsia="Times New Roman" w:hAnsi="Times New Roman"/>
                <w:sz w:val="16"/>
                <w:szCs w:val="16"/>
                <w:color w:val="auto"/>
              </w:rPr>
              <w:t>53</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900" w:type="dxa"/>
            <w:vAlign w:val="bottom"/>
            <w:tcBorders>
              <w:top w:val="single" w:sz="8" w:color="0000FF"/>
            </w:tcBorders>
            <w:gridSpan w:val="21"/>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2.05  Prepayment of Advances.  </w:t>
            </w:r>
            <w:r>
              <w:rPr>
                <w:rFonts w:ascii="Times New Roman" w:cs="Times New Roman" w:eastAsia="Times New Roman" w:hAnsi="Times New Roman"/>
                <w:sz w:val="16"/>
                <w:szCs w:val="16"/>
                <w:color w:val="000000"/>
              </w:rPr>
              <w:t>55</w:t>
            </w: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2.06</w:t>
            </w:r>
          </w:p>
        </w:tc>
        <w:tc>
          <w:tcPr>
            <w:tcW w:w="2060" w:type="dxa"/>
            <w:vAlign w:val="bottom"/>
            <w:gridSpan w:val="20"/>
          </w:tcPr>
          <w:p>
            <w:pPr>
              <w:ind w:left="80"/>
              <w:spacing w:after="0" w:line="171" w:lineRule="exact"/>
              <w:rPr>
                <w:sz w:val="20"/>
                <w:szCs w:val="20"/>
                <w:color w:val="auto"/>
              </w:rPr>
            </w:pPr>
            <w:r>
              <w:rPr>
                <w:rFonts w:ascii="Times New Roman" w:cs="Times New Roman" w:eastAsia="Times New Roman" w:hAnsi="Times New Roman"/>
                <w:sz w:val="16"/>
                <w:szCs w:val="16"/>
                <w:color w:val="0000FF"/>
                <w:w w:val="97"/>
              </w:rPr>
              <w:t>Prepayment Premium; Exit Fee</w:t>
            </w:r>
          </w:p>
        </w:tc>
        <w:tc>
          <w:tcPr>
            <w:tcW w:w="320" w:type="dxa"/>
            <w:vAlign w:val="bottom"/>
            <w:gridSpan w:val="5"/>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56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2.07</w:t>
            </w:r>
          </w:p>
        </w:tc>
        <w:tc>
          <w:tcPr>
            <w:tcW w:w="1680" w:type="dxa"/>
            <w:vAlign w:val="bottom"/>
            <w:tcBorders>
              <w:top w:val="single" w:sz="8" w:color="0000FF"/>
            </w:tcBorders>
            <w:gridSpan w:val="15"/>
          </w:tcPr>
          <w:p>
            <w:pPr>
              <w:ind w:left="80"/>
              <w:spacing w:after="0" w:line="171" w:lineRule="exact"/>
              <w:rPr>
                <w:sz w:val="20"/>
                <w:szCs w:val="20"/>
                <w:color w:val="auto"/>
              </w:rPr>
            </w:pPr>
            <w:r>
              <w:rPr>
                <w:rFonts w:ascii="Times New Roman" w:cs="Times New Roman" w:eastAsia="Times New Roman" w:hAnsi="Times New Roman"/>
                <w:sz w:val="16"/>
                <w:szCs w:val="16"/>
                <w:color w:val="0000FF"/>
              </w:rPr>
              <w:t>Maximum Lawful Rate</w:t>
            </w:r>
          </w:p>
        </w:tc>
        <w:tc>
          <w:tcPr>
            <w:tcW w:w="260" w:type="dxa"/>
            <w:vAlign w:val="bottom"/>
            <w:tcBorders>
              <w:top w:val="single" w:sz="8" w:color="0000FF"/>
            </w:tcBorders>
            <w:gridSpan w:val="2"/>
          </w:tcPr>
          <w:p>
            <w:pPr>
              <w:jc w:val="right"/>
              <w:ind w:right="80"/>
              <w:spacing w:after="0" w:line="171" w:lineRule="exact"/>
              <w:rPr>
                <w:sz w:val="20"/>
                <w:szCs w:val="20"/>
                <w:color w:val="auto"/>
              </w:rPr>
            </w:pPr>
            <w:r>
              <w:rPr>
                <w:rFonts w:ascii="Times New Roman" w:cs="Times New Roman" w:eastAsia="Times New Roman" w:hAnsi="Times New Roman"/>
                <w:sz w:val="16"/>
                <w:szCs w:val="16"/>
                <w:color w:val="auto"/>
                <w:w w:val="99"/>
              </w:rPr>
              <w:t>57</w:t>
            </w: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2.08</w:t>
            </w:r>
          </w:p>
        </w:tc>
        <w:tc>
          <w:tcPr>
            <w:tcW w:w="1320" w:type="dxa"/>
            <w:vAlign w:val="bottom"/>
            <w:tcBorders>
              <w:bottom w:val="single" w:sz="8" w:color="0000FF"/>
            </w:tcBorders>
            <w:gridSpan w:val="8"/>
          </w:tcPr>
          <w:p>
            <w:pPr>
              <w:ind w:left="80"/>
              <w:spacing w:after="0" w:line="161" w:lineRule="exact"/>
              <w:rPr>
                <w:sz w:val="20"/>
                <w:szCs w:val="20"/>
                <w:color w:val="auto"/>
              </w:rPr>
            </w:pPr>
            <w:r>
              <w:rPr>
                <w:rFonts w:ascii="Times New Roman" w:cs="Times New Roman" w:eastAsia="Times New Roman" w:hAnsi="Times New Roman"/>
                <w:sz w:val="16"/>
                <w:szCs w:val="16"/>
                <w:color w:val="0000FF"/>
                <w:w w:val="96"/>
              </w:rPr>
              <w:t>Several Obligations</w:t>
            </w:r>
          </w:p>
        </w:tc>
        <w:tc>
          <w:tcPr>
            <w:tcW w:w="140" w:type="dxa"/>
            <w:vAlign w:val="bottom"/>
            <w:gridSpan w:val="3"/>
          </w:tcPr>
          <w:p>
            <w:pPr>
              <w:spacing w:after="0"/>
              <w:rPr>
                <w:sz w:val="13"/>
                <w:szCs w:val="13"/>
                <w:color w:val="auto"/>
              </w:rPr>
            </w:pPr>
          </w:p>
        </w:tc>
        <w:tc>
          <w:tcPr>
            <w:tcW w:w="220" w:type="dxa"/>
            <w:vAlign w:val="bottom"/>
            <w:gridSpan w:val="4"/>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w w:val="87"/>
              </w:rPr>
              <w:t>58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2.09</w:t>
            </w:r>
          </w:p>
        </w:tc>
        <w:tc>
          <w:tcPr>
            <w:tcW w:w="1160" w:type="dxa"/>
            <w:vAlign w:val="bottom"/>
            <w:gridSpan w:val="7"/>
          </w:tcPr>
          <w:p>
            <w:pPr>
              <w:ind w:left="80"/>
              <w:spacing w:after="0" w:line="171" w:lineRule="exact"/>
              <w:rPr>
                <w:sz w:val="20"/>
                <w:szCs w:val="20"/>
                <w:color w:val="auto"/>
              </w:rPr>
            </w:pPr>
            <w:r>
              <w:rPr>
                <w:rFonts w:ascii="Times New Roman" w:cs="Times New Roman" w:eastAsia="Times New Roman" w:hAnsi="Times New Roman"/>
                <w:sz w:val="16"/>
                <w:szCs w:val="16"/>
                <w:color w:val="0000FF"/>
              </w:rPr>
              <w:t>Increased Costs</w:t>
            </w:r>
          </w:p>
        </w:tc>
        <w:tc>
          <w:tcPr>
            <w:tcW w:w="300" w:type="dxa"/>
            <w:vAlign w:val="bottom"/>
            <w:gridSpan w:val="4"/>
          </w:tcPr>
          <w:p>
            <w:pPr>
              <w:ind w:left="60"/>
              <w:spacing w:after="0" w:line="171" w:lineRule="exact"/>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87"/>
              </w:rPr>
              <w:t>60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2.10</w:t>
            </w:r>
          </w:p>
        </w:tc>
        <w:tc>
          <w:tcPr>
            <w:tcW w:w="2300" w:type="dxa"/>
            <w:vAlign w:val="bottom"/>
            <w:tcBorders>
              <w:bottom w:val="single" w:sz="8" w:color="0000FF"/>
            </w:tcBorders>
            <w:gridSpan w:val="22"/>
          </w:tcPr>
          <w:p>
            <w:pPr>
              <w:ind w:left="80"/>
              <w:spacing w:after="0" w:line="161" w:lineRule="exact"/>
              <w:rPr>
                <w:sz w:val="20"/>
                <w:szCs w:val="20"/>
                <w:color w:val="auto"/>
              </w:rPr>
            </w:pPr>
            <w:r>
              <w:rPr>
                <w:rFonts w:ascii="Times New Roman" w:cs="Times New Roman" w:eastAsia="Times New Roman" w:hAnsi="Times New Roman"/>
                <w:sz w:val="16"/>
                <w:szCs w:val="16"/>
                <w:color w:val="0000FF"/>
                <w:w w:val="96"/>
              </w:rPr>
              <w:t>Compensation; Breakage Payments</w:t>
            </w:r>
          </w:p>
        </w:tc>
        <w:tc>
          <w:tcPr>
            <w:tcW w:w="140" w:type="dxa"/>
            <w:vAlign w:val="bottom"/>
            <w:gridSpan w:val="4"/>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2.11</w:t>
            </w:r>
          </w:p>
        </w:tc>
        <w:tc>
          <w:tcPr>
            <w:tcW w:w="2500" w:type="dxa"/>
            <w:vAlign w:val="bottom"/>
            <w:tcBorders>
              <w:bottom w:val="single" w:sz="8" w:color="0000FF"/>
            </w:tcBorders>
            <w:gridSpan w:val="27"/>
          </w:tcPr>
          <w:p>
            <w:pPr>
              <w:ind w:left="80"/>
              <w:spacing w:after="0" w:line="171" w:lineRule="exact"/>
              <w:rPr>
                <w:sz w:val="20"/>
                <w:szCs w:val="20"/>
                <w:color w:val="auto"/>
              </w:rPr>
            </w:pPr>
            <w:r>
              <w:rPr>
                <w:rFonts w:ascii="Times New Roman" w:cs="Times New Roman" w:eastAsia="Times New Roman" w:hAnsi="Times New Roman"/>
                <w:sz w:val="16"/>
                <w:szCs w:val="16"/>
                <w:color w:val="0000FF"/>
                <w:w w:val="96"/>
              </w:rPr>
              <w:t>Illegality; Inability to Determine Rates</w:t>
            </w:r>
          </w:p>
        </w:tc>
        <w:tc>
          <w:tcPr>
            <w:tcW w:w="140" w:type="dxa"/>
            <w:vAlign w:val="bottom"/>
            <w:gridSpan w:val="4"/>
          </w:tcPr>
          <w:p>
            <w:pPr>
              <w:spacing w:after="0"/>
              <w:rPr>
                <w:sz w:val="14"/>
                <w:szCs w:val="14"/>
                <w:color w:val="auto"/>
              </w:rPr>
            </w:pPr>
          </w:p>
        </w:tc>
        <w:tc>
          <w:tcPr>
            <w:tcW w:w="3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auto"/>
                <w:w w:val="87"/>
              </w:rPr>
              <w:t>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3920" w:type="dxa"/>
            <w:vAlign w:val="bottom"/>
            <w:gridSpan w:val="36"/>
          </w:tcPr>
          <w:p>
            <w:pPr>
              <w:spacing w:after="0" w:line="171" w:lineRule="exact"/>
              <w:rPr>
                <w:sz w:val="20"/>
                <w:szCs w:val="20"/>
                <w:color w:val="auto"/>
              </w:rPr>
            </w:pPr>
            <w:r>
              <w:rPr>
                <w:rFonts w:ascii="Times New Roman" w:cs="Times New Roman" w:eastAsia="Times New Roman" w:hAnsi="Times New Roman"/>
                <w:sz w:val="16"/>
                <w:szCs w:val="16"/>
                <w:color w:val="0000FF"/>
              </w:rPr>
              <w:t xml:space="preserve">Section 2.12  Effect of Benchmark Replacement Event.  </w:t>
            </w:r>
            <w:r>
              <w:rPr>
                <w:rFonts w:ascii="Times New Roman" w:cs="Times New Roman" w:eastAsia="Times New Roman" w:hAnsi="Times New Roman"/>
                <w:sz w:val="16"/>
                <w:szCs w:val="16"/>
                <w:color w:val="000000"/>
              </w:rPr>
              <w:t>61</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Borders>
              <w:top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2.13</w:t>
            </w:r>
          </w:p>
        </w:tc>
        <w:tc>
          <w:tcPr>
            <w:tcW w:w="2440" w:type="dxa"/>
            <w:vAlign w:val="bottom"/>
            <w:tcBorders>
              <w:top w:val="single" w:sz="8" w:color="0000FF"/>
            </w:tcBorders>
            <w:gridSpan w:val="26"/>
          </w:tcPr>
          <w:p>
            <w:pPr>
              <w:ind w:left="80"/>
              <w:spacing w:after="0" w:line="161" w:lineRule="exact"/>
              <w:rPr>
                <w:sz w:val="20"/>
                <w:szCs w:val="20"/>
                <w:color w:val="auto"/>
              </w:rPr>
            </w:pPr>
            <w:r>
              <w:rPr>
                <w:rFonts w:ascii="Times New Roman" w:cs="Times New Roman" w:eastAsia="Times New Roman" w:hAnsi="Times New Roman"/>
                <w:sz w:val="16"/>
                <w:szCs w:val="16"/>
                <w:color w:val="0000FF"/>
                <w:w w:val="99"/>
              </w:rPr>
              <w:t xml:space="preserve">Rescission or Return of Payment  </w:t>
            </w:r>
            <w:r>
              <w:rPr>
                <w:rFonts w:ascii="Times New Roman" w:cs="Times New Roman" w:eastAsia="Times New Roman" w:hAnsi="Times New Roman"/>
                <w:sz w:val="16"/>
                <w:szCs w:val="16"/>
                <w:color w:val="000000"/>
                <w:w w:val="99"/>
              </w:rPr>
              <w:t>62</w:t>
            </w: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2.14</w:t>
            </w:r>
          </w:p>
        </w:tc>
        <w:tc>
          <w:tcPr>
            <w:tcW w:w="2060" w:type="dxa"/>
            <w:vAlign w:val="bottom"/>
            <w:gridSpan w:val="20"/>
          </w:tcPr>
          <w:p>
            <w:pPr>
              <w:ind w:left="80"/>
              <w:spacing w:after="0" w:line="171" w:lineRule="exact"/>
              <w:rPr>
                <w:sz w:val="20"/>
                <w:szCs w:val="20"/>
                <w:color w:val="auto"/>
              </w:rPr>
            </w:pPr>
            <w:r>
              <w:rPr>
                <w:rFonts w:ascii="Times New Roman" w:cs="Times New Roman" w:eastAsia="Times New Roman" w:hAnsi="Times New Roman"/>
                <w:sz w:val="16"/>
                <w:szCs w:val="16"/>
                <w:color w:val="0000FF"/>
              </w:rPr>
              <w:t>Interest on Past Due Amounts</w:t>
            </w:r>
          </w:p>
        </w:tc>
        <w:tc>
          <w:tcPr>
            <w:tcW w:w="24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Borders>
              <w:top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2.15</w:t>
            </w:r>
          </w:p>
        </w:tc>
        <w:tc>
          <w:tcPr>
            <w:tcW w:w="1460" w:type="dxa"/>
            <w:vAlign w:val="bottom"/>
            <w:tcBorders>
              <w:top w:val="single" w:sz="8" w:color="0000FF"/>
            </w:tcBorders>
            <w:gridSpan w:val="11"/>
          </w:tcPr>
          <w:p>
            <w:pPr>
              <w:ind w:left="80"/>
              <w:spacing w:after="0" w:line="161" w:lineRule="exact"/>
              <w:rPr>
                <w:sz w:val="20"/>
                <w:szCs w:val="20"/>
                <w:color w:val="auto"/>
              </w:rPr>
            </w:pPr>
            <w:r>
              <w:rPr>
                <w:rFonts w:ascii="Times New Roman" w:cs="Times New Roman" w:eastAsia="Times New Roman" w:hAnsi="Times New Roman"/>
                <w:sz w:val="16"/>
                <w:szCs w:val="16"/>
                <w:color w:val="0000FF"/>
              </w:rPr>
              <w:t>Payments Generally</w:t>
            </w:r>
          </w:p>
        </w:tc>
        <w:tc>
          <w:tcPr>
            <w:tcW w:w="220" w:type="dxa"/>
            <w:vAlign w:val="bottom"/>
            <w:tcBorders>
              <w:top w:val="single" w:sz="8" w:color="0000FF"/>
            </w:tcBorders>
            <w:gridSpan w:val="4"/>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63</w:t>
            </w: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252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FF"/>
              </w:rPr>
              <w:t xml:space="preserve">Section 2.16  Lender Relations.  </w:t>
            </w:r>
            <w:r>
              <w:rPr>
                <w:rFonts w:ascii="Times New Roman" w:cs="Times New Roman" w:eastAsia="Times New Roman" w:hAnsi="Times New Roman"/>
                <w:sz w:val="16"/>
                <w:szCs w:val="16"/>
                <w:color w:val="000000"/>
              </w:rPr>
              <w:t>64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6"/>
              </w:rPr>
              <w:t>ARTICLE 3. CONDITIONS PRECEDENT</w:t>
            </w:r>
          </w:p>
        </w:tc>
        <w:tc>
          <w:tcPr>
            <w:tcW w:w="80" w:type="dxa"/>
            <w:vAlign w:val="bottom"/>
          </w:tcPr>
          <w:p>
            <w:pPr>
              <w:spacing w:after="0"/>
              <w:rPr>
                <w:sz w:val="22"/>
                <w:szCs w:val="22"/>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3.01</w:t>
            </w:r>
          </w:p>
        </w:tc>
        <w:tc>
          <w:tcPr>
            <w:tcW w:w="2580" w:type="dxa"/>
            <w:vAlign w:val="bottom"/>
            <w:tcBorders>
              <w:bottom w:val="single" w:sz="8" w:color="0000FF"/>
            </w:tcBorders>
            <w:gridSpan w:val="29"/>
          </w:tcPr>
          <w:p>
            <w:pPr>
              <w:ind w:left="80"/>
              <w:spacing w:after="0"/>
              <w:rPr>
                <w:sz w:val="20"/>
                <w:szCs w:val="20"/>
                <w:color w:val="auto"/>
              </w:rPr>
            </w:pPr>
            <w:r>
              <w:rPr>
                <w:rFonts w:ascii="Times New Roman" w:cs="Times New Roman" w:eastAsia="Times New Roman" w:hAnsi="Times New Roman"/>
                <w:sz w:val="16"/>
                <w:szCs w:val="16"/>
                <w:color w:val="0000FF"/>
                <w:w w:val="96"/>
              </w:rPr>
              <w:t>Conditions Precedent to this Agreement</w:t>
            </w:r>
          </w:p>
        </w:tc>
        <w:tc>
          <w:tcPr>
            <w:tcW w:w="60" w:type="dxa"/>
            <w:vAlign w:val="bottom"/>
            <w:gridSpan w:val="2"/>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3.02</w:t>
            </w:r>
          </w:p>
        </w:tc>
        <w:tc>
          <w:tcPr>
            <w:tcW w:w="2640" w:type="dxa"/>
            <w:vAlign w:val="bottom"/>
            <w:tcBorders>
              <w:bottom w:val="single" w:sz="8" w:color="0000FF"/>
            </w:tcBorders>
            <w:gridSpan w:val="31"/>
          </w:tcPr>
          <w:p>
            <w:pPr>
              <w:ind w:left="80"/>
              <w:spacing w:after="0" w:line="171" w:lineRule="exact"/>
              <w:rPr>
                <w:sz w:val="20"/>
                <w:szCs w:val="20"/>
                <w:color w:val="auto"/>
              </w:rPr>
            </w:pPr>
            <w:r>
              <w:rPr>
                <w:rFonts w:ascii="Times New Roman" w:cs="Times New Roman" w:eastAsia="Times New Roman" w:hAnsi="Times New Roman"/>
                <w:sz w:val="16"/>
                <w:szCs w:val="16"/>
                <w:color w:val="0000FF"/>
                <w:w w:val="96"/>
              </w:rPr>
              <w:t>Conditions Precedent to Each Borrowing</w:t>
            </w:r>
          </w:p>
        </w:tc>
        <w:tc>
          <w:tcPr>
            <w:tcW w:w="34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67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w w:val="95"/>
              </w:rPr>
              <w:t>ARTICLE 4. REPRESENTATIONS AND WARRANTIES</w:t>
            </w:r>
          </w:p>
        </w:tc>
        <w:tc>
          <w:tcPr>
            <w:tcW w:w="120" w:type="dxa"/>
            <w:vAlign w:val="bottom"/>
            <w:gridSpan w:val="3"/>
          </w:tcPr>
          <w:p>
            <w:pPr>
              <w:spacing w:after="0"/>
              <w:rPr>
                <w:sz w:val="21"/>
                <w:szCs w:val="21"/>
                <w:color w:val="auto"/>
              </w:rPr>
            </w:pPr>
          </w:p>
        </w:tc>
        <w:tc>
          <w:tcPr>
            <w:tcW w:w="2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w w:val="99"/>
              </w:rPr>
              <w:t>68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4.01</w:t>
            </w:r>
          </w:p>
        </w:tc>
        <w:tc>
          <w:tcPr>
            <w:tcW w:w="3080" w:type="dxa"/>
            <w:vAlign w:val="bottom"/>
            <w:tcBorders>
              <w:bottom w:val="single" w:sz="8" w:color="0000FF"/>
            </w:tcBorders>
            <w:gridSpan w:val="35"/>
          </w:tcPr>
          <w:p>
            <w:pPr>
              <w:ind w:left="80"/>
              <w:spacing w:after="0"/>
              <w:rPr>
                <w:sz w:val="20"/>
                <w:szCs w:val="20"/>
                <w:color w:val="auto"/>
              </w:rPr>
            </w:pPr>
            <w:r>
              <w:rPr>
                <w:rFonts w:ascii="Times New Roman" w:cs="Times New Roman" w:eastAsia="Times New Roman" w:hAnsi="Times New Roman"/>
                <w:sz w:val="16"/>
                <w:szCs w:val="16"/>
                <w:color w:val="0000FF"/>
                <w:w w:val="96"/>
              </w:rPr>
              <w:t>Representations and Warranties of the Borrower</w:t>
            </w:r>
          </w:p>
        </w:tc>
        <w:tc>
          <w:tcPr>
            <w:tcW w:w="142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rPr>
              <w:t>68</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4.02</w:t>
            </w:r>
          </w:p>
        </w:tc>
        <w:tc>
          <w:tcPr>
            <w:tcW w:w="6020" w:type="dxa"/>
            <w:vAlign w:val="bottom"/>
            <w:gridSpan w:val="38"/>
          </w:tcPr>
          <w:p>
            <w:pPr>
              <w:ind w:left="80"/>
              <w:spacing w:after="0" w:line="171" w:lineRule="exact"/>
              <w:rPr>
                <w:sz w:val="20"/>
                <w:szCs w:val="20"/>
                <w:color w:val="auto"/>
              </w:rPr>
            </w:pPr>
            <w:r>
              <w:rPr>
                <w:rFonts w:ascii="Times New Roman" w:cs="Times New Roman" w:eastAsia="Times New Roman" w:hAnsi="Times New Roman"/>
                <w:sz w:val="16"/>
                <w:szCs w:val="16"/>
                <w:color w:val="0000FF"/>
                <w:w w:val="98"/>
              </w:rPr>
              <w:t xml:space="preserve">Representations and Warranties Relating to the Collateral in Connection with a Borrowing  </w:t>
            </w:r>
            <w:r>
              <w:rPr>
                <w:rFonts w:ascii="Times New Roman" w:cs="Times New Roman" w:eastAsia="Times New Roman" w:hAnsi="Times New Roman"/>
                <w:sz w:val="16"/>
                <w:szCs w:val="16"/>
                <w:color w:val="000000"/>
                <w:w w:val="98"/>
              </w:rPr>
              <w:t>75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ARTICLE 5. COVENANTS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Section 5.01</w:t>
            </w:r>
          </w:p>
        </w:tc>
        <w:tc>
          <w:tcPr>
            <w:tcW w:w="2640" w:type="dxa"/>
            <w:vAlign w:val="bottom"/>
            <w:gridSpan w:val="31"/>
          </w:tcPr>
          <w:p>
            <w:pPr>
              <w:ind w:left="80"/>
              <w:spacing w:after="0"/>
              <w:rPr>
                <w:sz w:val="20"/>
                <w:szCs w:val="20"/>
                <w:color w:val="auto"/>
              </w:rPr>
            </w:pPr>
            <w:r>
              <w:rPr>
                <w:rFonts w:ascii="Times New Roman" w:cs="Times New Roman" w:eastAsia="Times New Roman" w:hAnsi="Times New Roman"/>
                <w:sz w:val="16"/>
                <w:szCs w:val="16"/>
                <w:color w:val="0000FF"/>
              </w:rPr>
              <w:t>Affirmative Covenants of the Borrower</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76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84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5.02</w:t>
            </w:r>
          </w:p>
        </w:tc>
        <w:tc>
          <w:tcPr>
            <w:tcW w:w="2380" w:type="dxa"/>
            <w:vAlign w:val="bottom"/>
            <w:tcBorders>
              <w:bottom w:val="single" w:sz="8" w:color="0000FF"/>
            </w:tcBorders>
            <w:gridSpan w:val="25"/>
          </w:tcPr>
          <w:p>
            <w:pPr>
              <w:ind w:left="80"/>
              <w:spacing w:after="0" w:line="161" w:lineRule="exact"/>
              <w:rPr>
                <w:sz w:val="20"/>
                <w:szCs w:val="20"/>
                <w:color w:val="auto"/>
              </w:rPr>
            </w:pPr>
            <w:r>
              <w:rPr>
                <w:rFonts w:ascii="Times New Roman" w:cs="Times New Roman" w:eastAsia="Times New Roman" w:hAnsi="Times New Roman"/>
                <w:sz w:val="16"/>
                <w:szCs w:val="16"/>
                <w:color w:val="0000FF"/>
                <w:w w:val="96"/>
              </w:rPr>
              <w:t>Negative Covenants of the Borrower</w:t>
            </w:r>
          </w:p>
        </w:tc>
        <w:tc>
          <w:tcPr>
            <w:tcW w:w="60" w:type="dxa"/>
            <w:vAlign w:val="bottom"/>
          </w:tcPr>
          <w:p>
            <w:pPr>
              <w:spacing w:after="0"/>
              <w:rPr>
                <w:sz w:val="13"/>
                <w:szCs w:val="13"/>
                <w:color w:val="auto"/>
              </w:rPr>
            </w:pPr>
          </w:p>
        </w:tc>
        <w:tc>
          <w:tcPr>
            <w:tcW w:w="540" w:type="dxa"/>
            <w:vAlign w:val="bottom"/>
            <w:gridSpan w:val="7"/>
          </w:tcPr>
          <w:p>
            <w:pPr>
              <w:jc w:val="right"/>
              <w:ind w:right="300"/>
              <w:spacing w:after="0" w:line="161" w:lineRule="exact"/>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5.03</w:t>
            </w:r>
          </w:p>
        </w:tc>
        <w:tc>
          <w:tcPr>
            <w:tcW w:w="3080" w:type="dxa"/>
            <w:vAlign w:val="bottom"/>
            <w:gridSpan w:val="35"/>
          </w:tcPr>
          <w:p>
            <w:pPr>
              <w:ind w:left="80"/>
              <w:spacing w:after="0" w:line="171" w:lineRule="exact"/>
              <w:rPr>
                <w:sz w:val="20"/>
                <w:szCs w:val="20"/>
                <w:color w:val="auto"/>
              </w:rPr>
            </w:pPr>
            <w:r>
              <w:rPr>
                <w:rFonts w:ascii="Times New Roman" w:cs="Times New Roman" w:eastAsia="Times New Roman" w:hAnsi="Times New Roman"/>
                <w:sz w:val="16"/>
                <w:szCs w:val="16"/>
                <w:color w:val="0000FF"/>
                <w:w w:val="99"/>
              </w:rPr>
              <w:t>Certain Undertakings Relating to Separateness</w:t>
            </w:r>
          </w:p>
        </w:tc>
        <w:tc>
          <w:tcPr>
            <w:tcW w:w="1420" w:type="dxa"/>
            <w:vAlign w:val="bottom"/>
          </w:tcPr>
          <w:p>
            <w:pPr>
              <w:jc w:val="right"/>
              <w:ind w:right="1122"/>
              <w:spacing w:after="0" w:line="171" w:lineRule="exact"/>
              <w:rPr>
                <w:sz w:val="20"/>
                <w:szCs w:val="20"/>
                <w:color w:val="auto"/>
              </w:rPr>
            </w:pPr>
            <w:r>
              <w:rPr>
                <w:rFonts w:ascii="Times New Roman" w:cs="Times New Roman" w:eastAsia="Times New Roman" w:hAnsi="Times New Roman"/>
                <w:sz w:val="16"/>
                <w:szCs w:val="16"/>
                <w:color w:val="auto"/>
              </w:rPr>
              <w:t>87</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4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5.04</w:t>
            </w:r>
          </w:p>
        </w:tc>
        <w:tc>
          <w:tcPr>
            <w:tcW w:w="1460" w:type="dxa"/>
            <w:vAlign w:val="bottom"/>
            <w:tcBorders>
              <w:top w:val="single" w:sz="8" w:color="0000FF"/>
            </w:tcBorders>
            <w:gridSpan w:val="11"/>
          </w:tcPr>
          <w:p>
            <w:pPr>
              <w:ind w:left="80"/>
              <w:spacing w:after="0" w:line="171" w:lineRule="exact"/>
              <w:rPr>
                <w:sz w:val="20"/>
                <w:szCs w:val="20"/>
                <w:color w:val="auto"/>
              </w:rPr>
            </w:pPr>
            <w:r>
              <w:rPr>
                <w:rFonts w:ascii="Times New Roman" w:cs="Times New Roman" w:eastAsia="Times New Roman" w:hAnsi="Times New Roman"/>
                <w:sz w:val="16"/>
                <w:szCs w:val="16"/>
                <w:color w:val="0000FF"/>
              </w:rPr>
              <w:t xml:space="preserve">Reassignment.  </w:t>
            </w:r>
            <w:r>
              <w:rPr>
                <w:rFonts w:ascii="Times New Roman" w:cs="Times New Roman" w:eastAsia="Times New Roman" w:hAnsi="Times New Roman"/>
                <w:sz w:val="16"/>
                <w:szCs w:val="16"/>
                <w:color w:val="000000"/>
              </w:rPr>
              <w:t>89</w:t>
            </w: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9"/>
              </w:rPr>
              <w:t>ARTICLE 6. EVENTS OF DEFAULT</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9"/>
              </w:rPr>
              <w:t>90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Section 6.01</w:t>
            </w:r>
          </w:p>
        </w:tc>
        <w:tc>
          <w:tcPr>
            <w:tcW w:w="116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0000FF"/>
                <w:w w:val="92"/>
              </w:rPr>
              <w:t>Events of Default</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3920" w:type="dxa"/>
            <w:vAlign w:val="bottom"/>
            <w:gridSpan w:val="36"/>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6.02  Remedies upon an Event of Default.  </w:t>
            </w:r>
            <w:r>
              <w:rPr>
                <w:rFonts w:ascii="Times New Roman" w:cs="Times New Roman" w:eastAsia="Times New Roman" w:hAnsi="Times New Roman"/>
                <w:sz w:val="16"/>
                <w:szCs w:val="16"/>
                <w:color w:val="000000"/>
              </w:rPr>
              <w:t>94</w:t>
            </w: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2900" w:type="dxa"/>
            <w:vAlign w:val="bottom"/>
            <w:tcBorders>
              <w:top w:val="single" w:sz="8" w:color="0000FF"/>
            </w:tcBorders>
            <w:gridSpan w:val="21"/>
          </w:tcPr>
          <w:p>
            <w:pPr>
              <w:spacing w:after="0" w:line="171" w:lineRule="exact"/>
              <w:rPr>
                <w:sz w:val="20"/>
                <w:szCs w:val="20"/>
                <w:color w:val="auto"/>
              </w:rPr>
            </w:pPr>
            <w:r>
              <w:rPr>
                <w:rFonts w:ascii="Times New Roman" w:cs="Times New Roman" w:eastAsia="Times New Roman" w:hAnsi="Times New Roman"/>
                <w:sz w:val="16"/>
                <w:szCs w:val="16"/>
                <w:color w:val="0000FF"/>
              </w:rPr>
              <w:t xml:space="preserve">Section 6.03  Class B Buyout Option.  </w:t>
            </w:r>
            <w:r>
              <w:rPr>
                <w:rFonts w:ascii="Times New Roman" w:cs="Times New Roman" w:eastAsia="Times New Roman" w:hAnsi="Times New Roman"/>
                <w:sz w:val="16"/>
                <w:szCs w:val="16"/>
                <w:color w:val="000000"/>
              </w:rPr>
              <w:t>95</w:t>
            </w: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2920" w:type="dxa"/>
            <w:vAlign w:val="bottom"/>
            <w:gridSpan w:val="2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380" w:type="dxa"/>
            <w:vAlign w:val="bottom"/>
            <w:gridSpan w:val="40"/>
          </w:tcPr>
          <w:p>
            <w:pPr>
              <w:spacing w:after="0"/>
              <w:rPr>
                <w:sz w:val="20"/>
                <w:szCs w:val="20"/>
                <w:color w:val="auto"/>
              </w:rPr>
            </w:pPr>
            <w:r>
              <w:rPr>
                <w:rFonts w:ascii="Times New Roman" w:cs="Times New Roman" w:eastAsia="Times New Roman" w:hAnsi="Times New Roman"/>
                <w:sz w:val="16"/>
                <w:szCs w:val="16"/>
                <w:color w:val="0000FF"/>
              </w:rPr>
              <w:t xml:space="preserve">ARTICLE 7. PLEDGE OF COLLATERAL; RIGHTS OF THE ADMINISTRATIVE AGENT  </w:t>
            </w:r>
            <w:r>
              <w:rPr>
                <w:rFonts w:ascii="Times New Roman" w:cs="Times New Roman" w:eastAsia="Times New Roman" w:hAnsi="Times New Roman"/>
                <w:sz w:val="16"/>
                <w:szCs w:val="16"/>
                <w:color w:val="000000"/>
              </w:rPr>
              <w:t>96</w:t>
            </w:r>
          </w:p>
        </w:tc>
        <w:tc>
          <w:tcPr>
            <w:tcW w:w="0" w:type="dxa"/>
            <w:vAlign w:val="bottom"/>
          </w:tcPr>
          <w:p>
            <w:pPr>
              <w:spacing w:after="0"/>
              <w:rPr>
                <w:sz w:val="1"/>
                <w:szCs w:val="1"/>
                <w:color w:val="auto"/>
              </w:rPr>
            </w:pPr>
          </w:p>
        </w:tc>
      </w:tr>
      <w:tr>
        <w:trPr>
          <w:trHeight w:val="245"/>
        </w:trPr>
        <w:tc>
          <w:tcPr>
            <w:tcW w:w="52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7.01</w:t>
            </w:r>
          </w:p>
        </w:tc>
        <w:tc>
          <w:tcPr>
            <w:tcW w:w="1160" w:type="dxa"/>
            <w:vAlign w:val="bottom"/>
            <w:tcBorders>
              <w:top w:val="single" w:sz="8" w:color="0000FF"/>
            </w:tcBorders>
            <w:gridSpan w:val="7"/>
          </w:tcPr>
          <w:p>
            <w:pPr>
              <w:ind w:left="80"/>
              <w:spacing w:after="0"/>
              <w:rPr>
                <w:sz w:val="20"/>
                <w:szCs w:val="20"/>
                <w:color w:val="auto"/>
              </w:rPr>
            </w:pPr>
            <w:r>
              <w:rPr>
                <w:rFonts w:ascii="Times New Roman" w:cs="Times New Roman" w:eastAsia="Times New Roman" w:hAnsi="Times New Roman"/>
                <w:sz w:val="16"/>
                <w:szCs w:val="16"/>
                <w:color w:val="0000FF"/>
                <w:w w:val="93"/>
              </w:rPr>
              <w:t>Grant of Security</w:t>
            </w:r>
          </w:p>
        </w:tc>
        <w:tc>
          <w:tcPr>
            <w:tcW w:w="38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20" w:type="dxa"/>
            <w:vAlign w:val="bottom"/>
            <w:tcBorders>
              <w:top w:val="single" w:sz="8" w:color="0000FF"/>
            </w:tcBorders>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59"/>
          </w:cols>
          <w:pgMar w:left="300" w:top="1440" w:right="1440" w:bottom="1440" w:gutter="0" w:footer="0" w:header="0"/>
        </w:sectPr>
      </w:pPr>
    </w:p>
    <w:bookmarkStart w:id="200" w:name="page201"/>
    <w:bookmarkEnd w:id="20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(continued)</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0000FF"/>
              </w:rPr>
              <w:t>Section 7.02</w:t>
            </w:r>
          </w:p>
        </w:tc>
        <w:tc>
          <w:tcPr>
            <w:tcW w:w="1840" w:type="dxa"/>
            <w:vAlign w:val="bottom"/>
            <w:gridSpan w:val="13"/>
          </w:tcPr>
          <w:p>
            <w:pPr>
              <w:ind w:left="40"/>
              <w:spacing w:after="0"/>
              <w:rPr>
                <w:sz w:val="20"/>
                <w:szCs w:val="20"/>
                <w:color w:val="auto"/>
              </w:rPr>
            </w:pPr>
            <w:r>
              <w:rPr>
                <w:rFonts w:ascii="Times New Roman" w:cs="Times New Roman" w:eastAsia="Times New Roman" w:hAnsi="Times New Roman"/>
                <w:sz w:val="16"/>
                <w:szCs w:val="16"/>
                <w:color w:val="0000FF"/>
              </w:rPr>
              <w:t>Release of Security Interest</w:t>
            </w:r>
          </w:p>
        </w:tc>
        <w:tc>
          <w:tcPr>
            <w:tcW w:w="3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98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80" w:type="dxa"/>
            <w:vAlign w:val="bottom"/>
            <w:tcBorders>
              <w:top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7.03</w:t>
            </w:r>
          </w:p>
        </w:tc>
        <w:tc>
          <w:tcPr>
            <w:tcW w:w="1420" w:type="dxa"/>
            <w:vAlign w:val="bottom"/>
            <w:tcBorders>
              <w:top w:val="single" w:sz="8" w:color="0000FF"/>
            </w:tcBorders>
            <w:gridSpan w:val="6"/>
          </w:tcPr>
          <w:p>
            <w:pPr>
              <w:ind w:left="40"/>
              <w:spacing w:after="0" w:line="161" w:lineRule="exact"/>
              <w:rPr>
                <w:sz w:val="20"/>
                <w:szCs w:val="20"/>
                <w:color w:val="auto"/>
              </w:rPr>
            </w:pPr>
            <w:r>
              <w:rPr>
                <w:rFonts w:ascii="Times New Roman" w:cs="Times New Roman" w:eastAsia="Times New Roman" w:hAnsi="Times New Roman"/>
                <w:sz w:val="16"/>
                <w:szCs w:val="16"/>
                <w:color w:val="0000FF"/>
                <w:w w:val="99"/>
              </w:rPr>
              <w:t>Rights and Remedies</w:t>
            </w:r>
          </w:p>
        </w:tc>
        <w:tc>
          <w:tcPr>
            <w:tcW w:w="280" w:type="dxa"/>
            <w:vAlign w:val="bottom"/>
            <w:tcBorders>
              <w:top w:val="single" w:sz="8" w:color="0000FF"/>
            </w:tcBorders>
            <w:gridSpan w:val="4"/>
          </w:tcPr>
          <w:p>
            <w:pPr>
              <w:jc w:val="right"/>
              <w:spacing w:after="0" w:line="161" w:lineRule="exact"/>
              <w:rPr>
                <w:sz w:val="20"/>
                <w:szCs w:val="20"/>
                <w:color w:val="auto"/>
              </w:rPr>
            </w:pPr>
            <w:r>
              <w:rPr>
                <w:rFonts w:ascii="Times New Roman" w:cs="Times New Roman" w:eastAsia="Times New Roman" w:hAnsi="Times New Roman"/>
                <w:sz w:val="16"/>
                <w:szCs w:val="16"/>
                <w:color w:val="auto"/>
              </w:rPr>
              <w:t>99</w:t>
            </w: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7.04</w:t>
            </w:r>
          </w:p>
        </w:tc>
        <w:tc>
          <w:tcPr>
            <w:tcW w:w="1420" w:type="dxa"/>
            <w:vAlign w:val="bottom"/>
            <w:tcBorders>
              <w:bottom w:val="single" w:sz="8" w:color="0000FF"/>
            </w:tcBorders>
            <w:gridSpan w:val="6"/>
          </w:tcPr>
          <w:p>
            <w:pPr>
              <w:ind w:left="40"/>
              <w:spacing w:after="0" w:line="171" w:lineRule="exact"/>
              <w:rPr>
                <w:sz w:val="20"/>
                <w:szCs w:val="20"/>
                <w:color w:val="auto"/>
              </w:rPr>
            </w:pPr>
            <w:r>
              <w:rPr>
                <w:rFonts w:ascii="Times New Roman" w:cs="Times New Roman" w:eastAsia="Times New Roman" w:hAnsi="Times New Roman"/>
                <w:sz w:val="16"/>
                <w:szCs w:val="16"/>
                <w:color w:val="0000FF"/>
                <w:w w:val="95"/>
              </w:rPr>
              <w:t>Remedies Cumulative</w:t>
            </w:r>
          </w:p>
        </w:tc>
        <w:tc>
          <w:tcPr>
            <w:tcW w:w="20" w:type="dxa"/>
            <w:vAlign w:val="bottom"/>
            <w:tcBorders>
              <w:bottom w:val="single" w:sz="8" w:color="0000FF"/>
            </w:tcBorders>
          </w:tcPr>
          <w:p>
            <w:pPr>
              <w:spacing w:after="0"/>
              <w:rPr>
                <w:sz w:val="14"/>
                <w:szCs w:val="14"/>
                <w:color w:val="auto"/>
              </w:rPr>
            </w:pPr>
          </w:p>
        </w:tc>
        <w:tc>
          <w:tcPr>
            <w:tcW w:w="300" w:type="dxa"/>
            <w:vAlign w:val="bottom"/>
            <w:gridSpan w:val="4"/>
          </w:tcPr>
          <w:p>
            <w:pPr>
              <w:jc w:val="right"/>
              <w:spacing w:after="0" w:line="171" w:lineRule="exact"/>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rPr>
              <w:t>Section 7.05</w:t>
            </w:r>
          </w:p>
        </w:tc>
        <w:tc>
          <w:tcPr>
            <w:tcW w:w="1420" w:type="dxa"/>
            <w:vAlign w:val="bottom"/>
            <w:gridSpan w:val="6"/>
          </w:tcPr>
          <w:p>
            <w:pPr>
              <w:ind w:left="40"/>
              <w:spacing w:after="0" w:line="161" w:lineRule="exact"/>
              <w:rPr>
                <w:sz w:val="20"/>
                <w:szCs w:val="20"/>
                <w:color w:val="auto"/>
              </w:rPr>
            </w:pPr>
            <w:r>
              <w:rPr>
                <w:rFonts w:ascii="Times New Roman" w:cs="Times New Roman" w:eastAsia="Times New Roman" w:hAnsi="Times New Roman"/>
                <w:sz w:val="16"/>
                <w:szCs w:val="16"/>
                <w:color w:val="0000FF"/>
              </w:rPr>
              <w:t>Related Documents</w:t>
            </w:r>
          </w:p>
        </w:tc>
        <w:tc>
          <w:tcPr>
            <w:tcW w:w="24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6"/>
                <w:szCs w:val="16"/>
                <w:color w:val="auto"/>
                <w:w w:val="91"/>
              </w:rPr>
              <w:t>100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7.06</w:t>
            </w:r>
          </w:p>
        </w:tc>
        <w:tc>
          <w:tcPr>
            <w:tcW w:w="1660" w:type="dxa"/>
            <w:vAlign w:val="bottom"/>
            <w:tcBorders>
              <w:bottom w:val="single" w:sz="8" w:color="0000FF"/>
            </w:tcBorders>
            <w:gridSpan w:val="9"/>
          </w:tcPr>
          <w:p>
            <w:pPr>
              <w:ind w:left="40"/>
              <w:spacing w:after="0" w:line="171" w:lineRule="exact"/>
              <w:rPr>
                <w:sz w:val="20"/>
                <w:szCs w:val="20"/>
                <w:color w:val="auto"/>
              </w:rPr>
            </w:pPr>
            <w:r>
              <w:rPr>
                <w:rFonts w:ascii="Times New Roman" w:cs="Times New Roman" w:eastAsia="Times New Roman" w:hAnsi="Times New Roman"/>
                <w:sz w:val="16"/>
                <w:szCs w:val="16"/>
                <w:color w:val="0000FF"/>
                <w:w w:val="96"/>
              </w:rPr>
              <w:t>Borrower Remains Liable</w:t>
            </w:r>
          </w:p>
        </w:tc>
        <w:tc>
          <w:tcPr>
            <w:tcW w:w="520" w:type="dxa"/>
            <w:vAlign w:val="bottom"/>
            <w:gridSpan w:val="6"/>
          </w:tcPr>
          <w:p>
            <w:pPr>
              <w:jc w:val="right"/>
              <w:ind w:right="120"/>
              <w:spacing w:after="0" w:line="171" w:lineRule="exact"/>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7.07</w:t>
            </w:r>
          </w:p>
        </w:tc>
        <w:tc>
          <w:tcPr>
            <w:tcW w:w="1660" w:type="dxa"/>
            <w:vAlign w:val="bottom"/>
            <w:gridSpan w:val="9"/>
          </w:tcPr>
          <w:p>
            <w:pPr>
              <w:ind w:left="40"/>
              <w:spacing w:after="0" w:line="171" w:lineRule="exact"/>
              <w:rPr>
                <w:sz w:val="20"/>
                <w:szCs w:val="20"/>
                <w:color w:val="auto"/>
              </w:rPr>
            </w:pPr>
            <w:r>
              <w:rPr>
                <w:rFonts w:ascii="Times New Roman" w:cs="Times New Roman" w:eastAsia="Times New Roman" w:hAnsi="Times New Roman"/>
                <w:sz w:val="16"/>
                <w:szCs w:val="16"/>
                <w:color w:val="0000FF"/>
              </w:rPr>
              <w:t>Protection of Collateral</w:t>
            </w:r>
          </w:p>
        </w:tc>
        <w:tc>
          <w:tcPr>
            <w:tcW w:w="280" w:type="dxa"/>
            <w:vAlign w:val="bottom"/>
            <w:gridSpan w:val="5"/>
          </w:tcPr>
          <w:p>
            <w:pPr>
              <w:jc w:val="right"/>
              <w:spacing w:after="0" w:line="171" w:lineRule="exact"/>
              <w:rPr>
                <w:sz w:val="20"/>
                <w:szCs w:val="20"/>
                <w:color w:val="auto"/>
              </w:rPr>
            </w:pPr>
            <w:r>
              <w:rPr>
                <w:rFonts w:ascii="Times New Roman" w:cs="Times New Roman" w:eastAsia="Times New Roman" w:hAnsi="Times New Roman"/>
                <w:sz w:val="16"/>
                <w:szCs w:val="16"/>
                <w:color w:val="auto"/>
                <w:w w:val="91"/>
              </w:rPr>
              <w:t>101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w w:val="99"/>
              </w:rPr>
              <w:t>ARTICLE 8. ACCOUNTINGS AND RELEASES</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8.01</w:t>
            </w:r>
          </w:p>
        </w:tc>
        <w:tc>
          <w:tcPr>
            <w:tcW w:w="1420" w:type="dxa"/>
            <w:vAlign w:val="bottom"/>
            <w:tcBorders>
              <w:top w:val="single" w:sz="8" w:color="0000FF"/>
            </w:tcBorders>
            <w:gridSpan w:val="6"/>
          </w:tcPr>
          <w:p>
            <w:pPr>
              <w:ind w:left="40"/>
              <w:spacing w:after="0"/>
              <w:rPr>
                <w:sz w:val="20"/>
                <w:szCs w:val="20"/>
                <w:color w:val="auto"/>
              </w:rPr>
            </w:pPr>
            <w:r>
              <w:rPr>
                <w:rFonts w:ascii="Times New Roman" w:cs="Times New Roman" w:eastAsia="Times New Roman" w:hAnsi="Times New Roman"/>
                <w:sz w:val="16"/>
                <w:szCs w:val="16"/>
                <w:color w:val="0000FF"/>
              </w:rPr>
              <w:t>Collection of Money</w:t>
            </w:r>
          </w:p>
        </w:tc>
        <w:tc>
          <w:tcPr>
            <w:tcW w:w="32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540" w:type="dxa"/>
            <w:vAlign w:val="bottom"/>
            <w:gridSpan w:val="10"/>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8.02  Permitted Sales.  </w:t>
            </w:r>
            <w:r>
              <w:rPr>
                <w:rFonts w:ascii="Times New Roman" w:cs="Times New Roman" w:eastAsia="Times New Roman" w:hAnsi="Times New Roman"/>
                <w:sz w:val="16"/>
                <w:szCs w:val="16"/>
                <w:color w:val="000000"/>
              </w:rPr>
              <w:t>103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ARTICLE 9. APPLICATION OF MONIES</w:t>
            </w:r>
          </w:p>
        </w:tc>
        <w:tc>
          <w:tcPr>
            <w:tcW w:w="3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0" w:type="dxa"/>
            <w:vAlign w:val="bottom"/>
          </w:tcPr>
          <w:p>
            <w:pPr>
              <w:spacing w:after="0"/>
              <w:rPr>
                <w:sz w:val="21"/>
                <w:szCs w:val="21"/>
                <w:color w:val="auto"/>
              </w:rPr>
            </w:pP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9.01</w:t>
            </w:r>
          </w:p>
        </w:tc>
        <w:tc>
          <w:tcPr>
            <w:tcW w:w="3240" w:type="dxa"/>
            <w:vAlign w:val="bottom"/>
            <w:tcBorders>
              <w:bottom w:val="single" w:sz="8" w:color="0000FF"/>
            </w:tcBorders>
            <w:gridSpan w:val="18"/>
          </w:tcPr>
          <w:p>
            <w:pPr>
              <w:ind w:left="40"/>
              <w:spacing w:after="0"/>
              <w:rPr>
                <w:sz w:val="20"/>
                <w:szCs w:val="20"/>
                <w:color w:val="auto"/>
              </w:rPr>
            </w:pPr>
            <w:r>
              <w:rPr>
                <w:rFonts w:ascii="Times New Roman" w:cs="Times New Roman" w:eastAsia="Times New Roman" w:hAnsi="Times New Roman"/>
                <w:sz w:val="16"/>
                <w:szCs w:val="16"/>
                <w:color w:val="0000FF"/>
                <w:w w:val="96"/>
              </w:rPr>
              <w:t>Disbursements of Monies from Collection Account</w:t>
            </w:r>
          </w:p>
        </w:tc>
        <w:tc>
          <w:tcPr>
            <w:tcW w:w="140" w:type="dxa"/>
            <w:vAlign w:val="bottom"/>
            <w:gridSpan w:val="2"/>
          </w:tcPr>
          <w:p>
            <w:pPr>
              <w:spacing w:after="0"/>
              <w:rPr>
                <w:sz w:val="21"/>
                <w:szCs w:val="21"/>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1"/>
              </w:rPr>
              <w:t>103</w:t>
            </w:r>
          </w:p>
        </w:tc>
        <w:tc>
          <w:tcPr>
            <w:tcW w:w="0" w:type="dxa"/>
            <w:vAlign w:val="bottom"/>
          </w:tcPr>
          <w:p>
            <w:pPr>
              <w:spacing w:after="0"/>
              <w:rPr>
                <w:sz w:val="1"/>
                <w:szCs w:val="1"/>
                <w:color w:val="auto"/>
              </w:rPr>
            </w:pPr>
          </w:p>
        </w:tc>
      </w:tr>
      <w:tr>
        <w:trPr>
          <w:trHeight w:val="256"/>
        </w:trPr>
        <w:tc>
          <w:tcPr>
            <w:tcW w:w="47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w w:val="96"/>
              </w:rPr>
              <w:t>ARTICLE 10. ADMINISTRATION AND SERVICING OF COLLATERAL</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8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Section 10.01</w:t>
            </w:r>
          </w:p>
        </w:tc>
        <w:tc>
          <w:tcPr>
            <w:tcW w:w="1840" w:type="dxa"/>
            <w:vAlign w:val="bottom"/>
            <w:tcBorders>
              <w:top w:val="single" w:sz="8" w:color="0000FF"/>
              <w:bottom w:val="single" w:sz="8" w:color="0000FF"/>
            </w:tcBorders>
            <w:gridSpan w:val="13"/>
          </w:tcPr>
          <w:p>
            <w:pPr>
              <w:ind w:left="120"/>
              <w:spacing w:after="0"/>
              <w:rPr>
                <w:sz w:val="20"/>
                <w:szCs w:val="20"/>
                <w:color w:val="auto"/>
              </w:rPr>
            </w:pPr>
            <w:r>
              <w:rPr>
                <w:rFonts w:ascii="Times New Roman" w:cs="Times New Roman" w:eastAsia="Times New Roman" w:hAnsi="Times New Roman"/>
                <w:sz w:val="16"/>
                <w:szCs w:val="16"/>
                <w:color w:val="0000FF"/>
                <w:w w:val="96"/>
              </w:rPr>
              <w:t>Designation of the Servicer</w:t>
            </w:r>
          </w:p>
        </w:tc>
        <w:tc>
          <w:tcPr>
            <w:tcW w:w="420" w:type="dxa"/>
            <w:vAlign w:val="bottom"/>
            <w:tcBorders>
              <w:top w:val="single" w:sz="8" w:color="0000FF"/>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6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w w:val="97"/>
              </w:rPr>
              <w:t>Section 10.02</w:t>
            </w:r>
          </w:p>
        </w:tc>
        <w:tc>
          <w:tcPr>
            <w:tcW w:w="3380" w:type="dxa"/>
            <w:vAlign w:val="bottom"/>
            <w:gridSpan w:val="20"/>
          </w:tcPr>
          <w:p>
            <w:pPr>
              <w:ind w:left="120"/>
              <w:spacing w:after="0" w:line="161" w:lineRule="exact"/>
              <w:rPr>
                <w:sz w:val="20"/>
                <w:szCs w:val="20"/>
                <w:color w:val="auto"/>
              </w:rPr>
            </w:pPr>
            <w:r>
              <w:rPr>
                <w:rFonts w:ascii="Times New Roman" w:cs="Times New Roman" w:eastAsia="Times New Roman" w:hAnsi="Times New Roman"/>
                <w:sz w:val="16"/>
                <w:szCs w:val="16"/>
                <w:color w:val="0000FF"/>
              </w:rPr>
              <w:t xml:space="preserve">Authorization of the Servicer  </w:t>
            </w:r>
            <w:r>
              <w:rPr>
                <w:rFonts w:ascii="Times New Roman" w:cs="Times New Roman" w:eastAsia="Times New Roman" w:hAnsi="Times New Roman"/>
                <w:sz w:val="16"/>
                <w:szCs w:val="16"/>
                <w:color w:val="000000"/>
              </w:rPr>
              <w:t>108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w w:val="97"/>
              </w:rPr>
              <w:t>Section 10.03</w:t>
            </w:r>
          </w:p>
        </w:tc>
        <w:tc>
          <w:tcPr>
            <w:tcW w:w="2260" w:type="dxa"/>
            <w:vAlign w:val="bottom"/>
            <w:gridSpan w:val="16"/>
          </w:tcPr>
          <w:p>
            <w:pPr>
              <w:ind w:left="120"/>
              <w:spacing w:after="0" w:line="171" w:lineRule="exact"/>
              <w:rPr>
                <w:sz w:val="20"/>
                <w:szCs w:val="20"/>
                <w:color w:val="auto"/>
              </w:rPr>
            </w:pPr>
            <w:r>
              <w:rPr>
                <w:rFonts w:ascii="Times New Roman" w:cs="Times New Roman" w:eastAsia="Times New Roman" w:hAnsi="Times New Roman"/>
                <w:sz w:val="16"/>
                <w:szCs w:val="16"/>
                <w:color w:val="0000FF"/>
                <w:w w:val="99"/>
              </w:rPr>
              <w:t>Appointment of Backup Servicer</w:t>
            </w:r>
          </w:p>
        </w:tc>
        <w:tc>
          <w:tcPr>
            <w:tcW w:w="660" w:type="dxa"/>
            <w:vAlign w:val="bottom"/>
          </w:tcPr>
          <w:p>
            <w:pPr>
              <w:jc w:val="right"/>
              <w:ind w:right="262"/>
              <w:spacing w:after="0" w:line="171" w:lineRule="exact"/>
              <w:rPr>
                <w:sz w:val="20"/>
                <w:szCs w:val="20"/>
                <w:color w:val="auto"/>
              </w:rPr>
            </w:pPr>
            <w:r>
              <w:rPr>
                <w:rFonts w:ascii="Times New Roman" w:cs="Times New Roman" w:eastAsia="Times New Roman" w:hAnsi="Times New Roman"/>
                <w:sz w:val="16"/>
                <w:szCs w:val="16"/>
                <w:color w:val="auto"/>
              </w:rPr>
              <w:t>108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5"/>
              </w:rPr>
              <w:t>ARTICLE 11. THE ADMINISTRATIVE AGENT</w:t>
            </w:r>
          </w:p>
        </w:tc>
        <w:tc>
          <w:tcPr>
            <w:tcW w:w="100" w:type="dxa"/>
            <w:vAlign w:val="bottom"/>
            <w:gridSpan w:val="2"/>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1"/>
              </w:rPr>
              <w:t>108</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Section 11.01</w:t>
            </w:r>
          </w:p>
        </w:tc>
        <w:tc>
          <w:tcPr>
            <w:tcW w:w="1840" w:type="dxa"/>
            <w:vAlign w:val="bottom"/>
            <w:gridSpan w:val="13"/>
          </w:tcPr>
          <w:p>
            <w:pPr>
              <w:ind w:left="120"/>
              <w:spacing w:after="0"/>
              <w:rPr>
                <w:sz w:val="20"/>
                <w:szCs w:val="20"/>
                <w:color w:val="auto"/>
              </w:rPr>
            </w:pPr>
            <w:r>
              <w:rPr>
                <w:rFonts w:ascii="Times New Roman" w:cs="Times New Roman" w:eastAsia="Times New Roman" w:hAnsi="Times New Roman"/>
                <w:sz w:val="16"/>
                <w:szCs w:val="16"/>
                <w:color w:val="0000FF"/>
              </w:rPr>
              <w:t>Authorization and Action</w:t>
            </w: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108</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w w:val="97"/>
              </w:rPr>
              <w:t>Section 11.02</w:t>
            </w:r>
          </w:p>
        </w:tc>
        <w:tc>
          <w:tcPr>
            <w:tcW w:w="1420" w:type="dxa"/>
            <w:vAlign w:val="bottom"/>
            <w:tcBorders>
              <w:bottom w:val="single" w:sz="8" w:color="0000FF"/>
            </w:tcBorders>
            <w:gridSpan w:val="6"/>
          </w:tcPr>
          <w:p>
            <w:pPr>
              <w:ind w:left="120"/>
              <w:spacing w:after="0" w:line="171" w:lineRule="exact"/>
              <w:rPr>
                <w:sz w:val="20"/>
                <w:szCs w:val="20"/>
                <w:color w:val="auto"/>
              </w:rPr>
            </w:pPr>
            <w:r>
              <w:rPr>
                <w:rFonts w:ascii="Times New Roman" w:cs="Times New Roman" w:eastAsia="Times New Roman" w:hAnsi="Times New Roman"/>
                <w:sz w:val="16"/>
                <w:szCs w:val="16"/>
                <w:color w:val="0000FF"/>
                <w:w w:val="95"/>
              </w:rPr>
              <w:t>Delegation of Duties</w:t>
            </w:r>
          </w:p>
        </w:tc>
        <w:tc>
          <w:tcPr>
            <w:tcW w:w="420" w:type="dxa"/>
            <w:vAlign w:val="bottom"/>
            <w:gridSpan w:val="7"/>
          </w:tcPr>
          <w:p>
            <w:pPr>
              <w:jc w:val="right"/>
              <w:ind w:right="40"/>
              <w:spacing w:after="0" w:line="171"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3140" w:type="dxa"/>
            <w:vAlign w:val="bottom"/>
            <w:gridSpan w:val="17"/>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11.03  Agent’s Reliance, Etc.  </w:t>
            </w:r>
            <w:r>
              <w:rPr>
                <w:rFonts w:ascii="Times New Roman" w:cs="Times New Roman" w:eastAsia="Times New Roman" w:hAnsi="Times New Roman"/>
                <w:sz w:val="16"/>
                <w:szCs w:val="16"/>
                <w:color w:val="000000"/>
              </w:rPr>
              <w:t>109</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w w:val="97"/>
              </w:rPr>
              <w:t>Section 11.04</w:t>
            </w:r>
          </w:p>
        </w:tc>
        <w:tc>
          <w:tcPr>
            <w:tcW w:w="1500" w:type="dxa"/>
            <w:vAlign w:val="bottom"/>
            <w:tcBorders>
              <w:top w:val="single" w:sz="8" w:color="0000FF"/>
            </w:tcBorders>
            <w:gridSpan w:val="8"/>
          </w:tcPr>
          <w:p>
            <w:pPr>
              <w:ind w:left="120"/>
              <w:spacing w:after="0" w:line="171" w:lineRule="exact"/>
              <w:rPr>
                <w:sz w:val="20"/>
                <w:szCs w:val="20"/>
                <w:color w:val="auto"/>
              </w:rPr>
            </w:pPr>
            <w:r>
              <w:rPr>
                <w:rFonts w:ascii="Times New Roman" w:cs="Times New Roman" w:eastAsia="Times New Roman" w:hAnsi="Times New Roman"/>
                <w:sz w:val="16"/>
                <w:szCs w:val="16"/>
                <w:color w:val="0000FF"/>
              </w:rPr>
              <w:t xml:space="preserve">Indemnification  </w:t>
            </w:r>
            <w:r>
              <w:rPr>
                <w:rFonts w:ascii="Times New Roman" w:cs="Times New Roman" w:eastAsia="Times New Roman" w:hAnsi="Times New Roman"/>
                <w:sz w:val="16"/>
                <w:szCs w:val="16"/>
                <w:color w:val="000000"/>
              </w:rPr>
              <w:t>111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color w:val="auto"/>
                <w:w w:val="91"/>
              </w:rPr>
              <w:t>111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88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w w:val="97"/>
              </w:rPr>
              <w:t>Section 11.05</w:t>
            </w:r>
          </w:p>
        </w:tc>
        <w:tc>
          <w:tcPr>
            <w:tcW w:w="2180" w:type="dxa"/>
            <w:vAlign w:val="bottom"/>
            <w:tcBorders>
              <w:bottom w:val="single" w:sz="8" w:color="0000FF"/>
            </w:tcBorders>
            <w:gridSpan w:val="15"/>
          </w:tcPr>
          <w:p>
            <w:pPr>
              <w:ind w:left="120"/>
              <w:spacing w:after="0" w:line="161" w:lineRule="exact"/>
              <w:rPr>
                <w:sz w:val="20"/>
                <w:szCs w:val="20"/>
                <w:color w:val="auto"/>
              </w:rPr>
            </w:pPr>
            <w:r>
              <w:rPr>
                <w:rFonts w:ascii="Times New Roman" w:cs="Times New Roman" w:eastAsia="Times New Roman" w:hAnsi="Times New Roman"/>
                <w:sz w:val="16"/>
                <w:szCs w:val="16"/>
                <w:color w:val="0000FF"/>
                <w:w w:val="97"/>
              </w:rPr>
              <w:t>Successor Administrative Agent</w:t>
            </w: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w w:val="97"/>
              </w:rPr>
              <w:t>Section 11.06</w:t>
            </w:r>
          </w:p>
        </w:tc>
        <w:tc>
          <w:tcPr>
            <w:tcW w:w="3380" w:type="dxa"/>
            <w:vAlign w:val="bottom"/>
            <w:gridSpan w:val="20"/>
          </w:tcPr>
          <w:p>
            <w:pPr>
              <w:ind w:left="120"/>
              <w:spacing w:after="0" w:line="171" w:lineRule="exact"/>
              <w:rPr>
                <w:sz w:val="20"/>
                <w:szCs w:val="20"/>
                <w:color w:val="auto"/>
              </w:rPr>
            </w:pPr>
            <w:r>
              <w:rPr>
                <w:rFonts w:ascii="Times New Roman" w:cs="Times New Roman" w:eastAsia="Times New Roman" w:hAnsi="Times New Roman"/>
                <w:sz w:val="16"/>
                <w:szCs w:val="16"/>
                <w:color w:val="0000FF"/>
              </w:rPr>
              <w:t xml:space="preserve">Administrative Agent’s Capacity as a Lender  </w:t>
            </w:r>
            <w:r>
              <w:rPr>
                <w:rFonts w:ascii="Times New Roman" w:cs="Times New Roman" w:eastAsia="Times New Roman" w:hAnsi="Times New Roman"/>
                <w:sz w:val="16"/>
                <w:szCs w:val="16"/>
                <w:color w:val="000000"/>
              </w:rPr>
              <w:t>112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88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w w:val="97"/>
              </w:rPr>
              <w:t>Section 11.07</w:t>
            </w:r>
          </w:p>
        </w:tc>
        <w:tc>
          <w:tcPr>
            <w:tcW w:w="2260" w:type="dxa"/>
            <w:vAlign w:val="bottom"/>
            <w:tcBorders>
              <w:top w:val="single" w:sz="8" w:color="0000FF"/>
            </w:tcBorders>
            <w:gridSpan w:val="16"/>
          </w:tcPr>
          <w:p>
            <w:pPr>
              <w:ind w:left="120"/>
              <w:spacing w:after="0" w:line="171" w:lineRule="exact"/>
              <w:rPr>
                <w:sz w:val="20"/>
                <w:szCs w:val="20"/>
                <w:color w:val="auto"/>
              </w:rPr>
            </w:pPr>
            <w:r>
              <w:rPr>
                <w:rFonts w:ascii="Times New Roman" w:cs="Times New Roman" w:eastAsia="Times New Roman" w:hAnsi="Times New Roman"/>
                <w:sz w:val="16"/>
                <w:szCs w:val="16"/>
                <w:color w:val="0000FF"/>
              </w:rPr>
              <w:t>Delivery of Notices and Reports</w:t>
            </w:r>
          </w:p>
        </w:tc>
        <w:tc>
          <w:tcPr>
            <w:tcW w:w="660" w:type="dxa"/>
            <w:vAlign w:val="bottom"/>
            <w:tcBorders>
              <w:top w:val="single" w:sz="8" w:color="0000FF"/>
            </w:tcBorders>
          </w:tcPr>
          <w:p>
            <w:pPr>
              <w:jc w:val="right"/>
              <w:ind w:right="322"/>
              <w:spacing w:after="0" w:line="171" w:lineRule="exact"/>
              <w:rPr>
                <w:sz w:val="20"/>
                <w:szCs w:val="20"/>
                <w:color w:val="auto"/>
              </w:rPr>
            </w:pPr>
            <w:r>
              <w:rPr>
                <w:rFonts w:ascii="Times New Roman" w:cs="Times New Roman" w:eastAsia="Times New Roman" w:hAnsi="Times New Roman"/>
                <w:sz w:val="16"/>
                <w:szCs w:val="16"/>
                <w:color w:val="auto"/>
                <w:w w:val="99"/>
              </w:rPr>
              <w:t>112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880" w:type="dxa"/>
            <w:vAlign w:val="bottom"/>
            <w:tcBorders>
              <w:top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w w:val="97"/>
              </w:rPr>
              <w:t>Section 11.08</w:t>
            </w:r>
          </w:p>
        </w:tc>
        <w:tc>
          <w:tcPr>
            <w:tcW w:w="1420" w:type="dxa"/>
            <w:vAlign w:val="bottom"/>
            <w:tcBorders>
              <w:top w:val="single" w:sz="8" w:color="0000FF"/>
            </w:tcBorders>
            <w:gridSpan w:val="6"/>
          </w:tcPr>
          <w:p>
            <w:pPr>
              <w:ind w:left="120"/>
              <w:spacing w:after="0" w:line="161" w:lineRule="exact"/>
              <w:rPr>
                <w:sz w:val="20"/>
                <w:szCs w:val="20"/>
                <w:color w:val="auto"/>
              </w:rPr>
            </w:pPr>
            <w:r>
              <w:rPr>
                <w:rFonts w:ascii="Times New Roman" w:cs="Times New Roman" w:eastAsia="Times New Roman" w:hAnsi="Times New Roman"/>
                <w:sz w:val="16"/>
                <w:szCs w:val="16"/>
                <w:color w:val="0000FF"/>
              </w:rPr>
              <w:t xml:space="preserve">Invoice  </w:t>
            </w:r>
            <w:r>
              <w:rPr>
                <w:rFonts w:ascii="Times New Roman" w:cs="Times New Roman" w:eastAsia="Times New Roman" w:hAnsi="Times New Roman"/>
                <w:sz w:val="16"/>
                <w:szCs w:val="16"/>
                <w:color w:val="000000"/>
              </w:rPr>
              <w:t>112</w:t>
            </w: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20"/>
        <w:spacing w:after="0"/>
        <w:tabs>
          <w:tab w:leader="none" w:pos="1500" w:val="left"/>
          <w:tab w:leader="none" w:pos="2980" w:val="left"/>
        </w:tabs>
        <w:rPr>
          <w:sz w:val="20"/>
          <w:szCs w:val="20"/>
          <w:color w:val="auto"/>
        </w:rPr>
      </w:pPr>
      <w:r>
        <w:rPr>
          <w:rFonts w:ascii="Times New Roman" w:cs="Times New Roman" w:eastAsia="Times New Roman" w:hAnsi="Times New Roman"/>
          <w:sz w:val="16"/>
          <w:szCs w:val="16"/>
          <w:u w:val="single" w:color="auto"/>
          <w:color w:val="0000FF"/>
        </w:rPr>
        <w:t>Section 11.09</w:t>
      </w:r>
      <w:r>
        <w:rPr>
          <w:sz w:val="20"/>
          <w:szCs w:val="20"/>
          <w:color w:val="auto"/>
        </w:rPr>
        <w:tab/>
      </w:r>
      <w:r>
        <w:rPr>
          <w:rFonts w:ascii="Times New Roman" w:cs="Times New Roman" w:eastAsia="Times New Roman" w:hAnsi="Times New Roman"/>
          <w:sz w:val="16"/>
          <w:szCs w:val="16"/>
          <w:u w:val="single" w:color="auto"/>
          <w:color w:val="0000FF"/>
        </w:rPr>
        <w:t>Erroneous Payments.</w:t>
      </w:r>
      <w:r>
        <w:rPr>
          <w:sz w:val="20"/>
          <w:szCs w:val="20"/>
          <w:color w:val="auto"/>
        </w:rPr>
        <w:tab/>
      </w:r>
      <w:r>
        <w:rPr>
          <w:rFonts w:ascii="Times New Roman" w:cs="Times New Roman" w:eastAsia="Times New Roman" w:hAnsi="Times New Roman"/>
          <w:sz w:val="14"/>
          <w:szCs w:val="14"/>
          <w:color w:val="auto"/>
        </w:rPr>
        <w:t>112</w:t>
      </w:r>
    </w:p>
    <w:p>
      <w:pPr>
        <w:spacing w:after="0" w:line="14" w:lineRule="exact"/>
        <w:rPr>
          <w:sz w:val="20"/>
          <w:szCs w:val="20"/>
          <w:color w:val="auto"/>
        </w:rPr>
      </w:pPr>
    </w:p>
    <w:p>
      <w:pPr>
        <w:ind w:left="520"/>
        <w:spacing w:after="0"/>
        <w:tabs>
          <w:tab w:leader="none" w:pos="1500" w:val="left"/>
          <w:tab w:leader="none" w:pos="5300" w:val="left"/>
        </w:tabs>
        <w:rPr>
          <w:sz w:val="20"/>
          <w:szCs w:val="20"/>
          <w:color w:val="auto"/>
        </w:rPr>
      </w:pPr>
      <w:r>
        <w:rPr>
          <w:rFonts w:ascii="Times New Roman" w:cs="Times New Roman" w:eastAsia="Times New Roman" w:hAnsi="Times New Roman"/>
          <w:sz w:val="16"/>
          <w:szCs w:val="16"/>
          <w:u w:val="single" w:color="auto"/>
          <w:color w:val="0000FF"/>
        </w:rPr>
        <w:t>Section 11.10</w:t>
      </w:r>
      <w:r>
        <w:rPr>
          <w:sz w:val="20"/>
          <w:szCs w:val="20"/>
          <w:color w:val="auto"/>
        </w:rPr>
        <w:tab/>
      </w:r>
      <w:r>
        <w:rPr>
          <w:rFonts w:ascii="Times New Roman" w:cs="Times New Roman" w:eastAsia="Times New Roman" w:hAnsi="Times New Roman"/>
          <w:sz w:val="16"/>
          <w:szCs w:val="16"/>
          <w:u w:val="single" w:color="auto"/>
          <w:color w:val="0000FF"/>
        </w:rPr>
        <w:t>Appointment of Administrative Agent as Security Trustee.</w:t>
      </w:r>
      <w:r>
        <w:rPr>
          <w:sz w:val="20"/>
          <w:szCs w:val="20"/>
          <w:color w:val="auto"/>
        </w:rPr>
        <w:tab/>
      </w:r>
      <w:r>
        <w:rPr>
          <w:rFonts w:ascii="Times New Roman" w:cs="Times New Roman" w:eastAsia="Times New Roman" w:hAnsi="Times New Roman"/>
          <w:sz w:val="14"/>
          <w:szCs w:val="14"/>
          <w:color w:val="auto"/>
        </w:rPr>
        <w:t>115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 xml:space="preserve">ARTICLE 12. MISCELLANEOUS  </w:t>
            </w:r>
            <w:r>
              <w:rPr>
                <w:rFonts w:ascii="Times New Roman" w:cs="Times New Roman" w:eastAsia="Times New Roman" w:hAnsi="Times New Roman"/>
                <w:sz w:val="16"/>
                <w:szCs w:val="16"/>
                <w:color w:val="000000"/>
              </w:rPr>
              <w:t>116</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color w:val="0000FF"/>
              </w:rPr>
              <w:t>Section 12.01</w:t>
            </w:r>
          </w:p>
        </w:tc>
        <w:tc>
          <w:tcPr>
            <w:tcW w:w="2480" w:type="dxa"/>
            <w:vAlign w:val="bottom"/>
            <w:gridSpan w:val="15"/>
          </w:tcPr>
          <w:p>
            <w:pPr>
              <w:ind w:left="80"/>
              <w:spacing w:after="0"/>
              <w:rPr>
                <w:sz w:val="20"/>
                <w:szCs w:val="20"/>
                <w:color w:val="auto"/>
              </w:rPr>
            </w:pPr>
            <w:r>
              <w:rPr>
                <w:rFonts w:ascii="Times New Roman" w:cs="Times New Roman" w:eastAsia="Times New Roman" w:hAnsi="Times New Roman"/>
                <w:sz w:val="16"/>
                <w:szCs w:val="16"/>
                <w:color w:val="0000FF"/>
                <w:w w:val="99"/>
              </w:rPr>
              <w:t>No Waiver; Modifications in Writing</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760" w:type="dxa"/>
            <w:vAlign w:val="bottom"/>
            <w:tcBorders>
              <w:top w:val="single" w:sz="8" w:color="0000FF"/>
            </w:tcBorders>
            <w:gridSpan w:val="13"/>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12.02  Notices, Etc.  </w:t>
            </w:r>
            <w:r>
              <w:rPr>
                <w:rFonts w:ascii="Times New Roman" w:cs="Times New Roman" w:eastAsia="Times New Roman" w:hAnsi="Times New Roman"/>
                <w:sz w:val="16"/>
                <w:szCs w:val="16"/>
                <w:color w:val="000000"/>
              </w:rPr>
              <w:t>116</w:t>
            </w:r>
          </w:p>
        </w:tc>
        <w:tc>
          <w:tcPr>
            <w:tcW w:w="5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12.03</w:t>
            </w:r>
          </w:p>
        </w:tc>
        <w:tc>
          <w:tcPr>
            <w:tcW w:w="540" w:type="dxa"/>
            <w:vAlign w:val="bottom"/>
            <w:tcBorders>
              <w:top w:val="single" w:sz="8" w:color="0000FF"/>
            </w:tcBorders>
            <w:gridSpan w:val="2"/>
          </w:tcPr>
          <w:p>
            <w:pPr>
              <w:ind w:left="80"/>
              <w:spacing w:after="0" w:line="171" w:lineRule="exact"/>
              <w:rPr>
                <w:sz w:val="20"/>
                <w:szCs w:val="20"/>
                <w:color w:val="auto"/>
              </w:rPr>
            </w:pPr>
            <w:r>
              <w:rPr>
                <w:rFonts w:ascii="Times New Roman" w:cs="Times New Roman" w:eastAsia="Times New Roman" w:hAnsi="Times New Roman"/>
                <w:sz w:val="16"/>
                <w:szCs w:val="16"/>
                <w:color w:val="0000FF"/>
              </w:rPr>
              <w:t>Taxes</w:t>
            </w:r>
          </w:p>
        </w:tc>
        <w:tc>
          <w:tcPr>
            <w:tcW w:w="340" w:type="dxa"/>
            <w:vAlign w:val="bottom"/>
            <w:tcBorders>
              <w:top w:val="single" w:sz="8" w:color="0000FF"/>
            </w:tcBorders>
            <w:gridSpan w:val="3"/>
          </w:tcPr>
          <w:p>
            <w:pPr>
              <w:jc w:val="right"/>
              <w:ind w:right="60"/>
              <w:spacing w:after="0" w:line="171" w:lineRule="exact"/>
              <w:rPr>
                <w:sz w:val="20"/>
                <w:szCs w:val="20"/>
                <w:color w:val="auto"/>
              </w:rPr>
            </w:pPr>
            <w:r>
              <w:rPr>
                <w:rFonts w:ascii="Times New Roman" w:cs="Times New Roman" w:eastAsia="Times New Roman" w:hAnsi="Times New Roman"/>
                <w:sz w:val="16"/>
                <w:szCs w:val="16"/>
                <w:color w:val="auto"/>
              </w:rPr>
              <w:t>117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rPr>
              <w:t>Section 12.04</w:t>
            </w:r>
          </w:p>
        </w:tc>
        <w:tc>
          <w:tcPr>
            <w:tcW w:w="2480" w:type="dxa"/>
            <w:vAlign w:val="bottom"/>
            <w:gridSpan w:val="15"/>
          </w:tcPr>
          <w:p>
            <w:pPr>
              <w:ind w:left="80"/>
              <w:spacing w:after="0" w:line="161" w:lineRule="exact"/>
              <w:rPr>
                <w:sz w:val="20"/>
                <w:szCs w:val="20"/>
                <w:color w:val="auto"/>
              </w:rPr>
            </w:pPr>
            <w:r>
              <w:rPr>
                <w:rFonts w:ascii="Times New Roman" w:cs="Times New Roman" w:eastAsia="Times New Roman" w:hAnsi="Times New Roman"/>
                <w:sz w:val="16"/>
                <w:szCs w:val="16"/>
                <w:color w:val="0000FF"/>
              </w:rPr>
              <w:t>Costs and Expenses; Indemnification</w:t>
            </w: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12.05</w:t>
            </w:r>
          </w:p>
        </w:tc>
        <w:tc>
          <w:tcPr>
            <w:tcW w:w="1840" w:type="dxa"/>
            <w:vAlign w:val="bottom"/>
            <w:tcBorders>
              <w:top w:val="single" w:sz="8" w:color="0000FF"/>
            </w:tcBorders>
            <w:gridSpan w:val="12"/>
          </w:tcPr>
          <w:p>
            <w:pPr>
              <w:ind w:left="80"/>
              <w:spacing w:after="0" w:line="171" w:lineRule="exact"/>
              <w:rPr>
                <w:sz w:val="20"/>
                <w:szCs w:val="20"/>
                <w:color w:val="auto"/>
              </w:rPr>
            </w:pPr>
            <w:r>
              <w:rPr>
                <w:rFonts w:ascii="Times New Roman" w:cs="Times New Roman" w:eastAsia="Times New Roman" w:hAnsi="Times New Roman"/>
                <w:sz w:val="16"/>
                <w:szCs w:val="16"/>
                <w:color w:val="0000FF"/>
              </w:rPr>
              <w:t>Execution in Counterparts</w:t>
            </w:r>
          </w:p>
        </w:tc>
        <w:tc>
          <w:tcPr>
            <w:tcW w:w="540" w:type="dxa"/>
            <w:vAlign w:val="bottom"/>
            <w:tcBorders>
              <w:top w:val="single" w:sz="8" w:color="0000FF"/>
            </w:tcBorders>
          </w:tcPr>
          <w:p>
            <w:pPr>
              <w:jc w:val="right"/>
              <w:ind w:right="202"/>
              <w:spacing w:after="0" w:line="171" w:lineRule="exact"/>
              <w:rPr>
                <w:sz w:val="20"/>
                <w:szCs w:val="20"/>
                <w:color w:val="auto"/>
              </w:rPr>
            </w:pPr>
            <w:r>
              <w:rPr>
                <w:rFonts w:ascii="Times New Roman" w:cs="Times New Roman" w:eastAsia="Times New Roman" w:hAnsi="Times New Roman"/>
                <w:sz w:val="16"/>
                <w:szCs w:val="16"/>
                <w:color w:val="auto"/>
                <w:w w:val="99"/>
              </w:rPr>
              <w:t>124</w:t>
            </w: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12.06</w:t>
            </w:r>
          </w:p>
        </w:tc>
        <w:tc>
          <w:tcPr>
            <w:tcW w:w="920" w:type="dxa"/>
            <w:vAlign w:val="bottom"/>
            <w:tcBorders>
              <w:top w:val="single" w:sz="8" w:color="0000FF"/>
              <w:bottom w:val="single" w:sz="8" w:color="0000FF"/>
            </w:tcBorders>
            <w:gridSpan w:val="6"/>
          </w:tcPr>
          <w:p>
            <w:pPr>
              <w:ind w:left="80"/>
              <w:spacing w:after="0" w:line="171" w:lineRule="exact"/>
              <w:rPr>
                <w:sz w:val="20"/>
                <w:szCs w:val="20"/>
                <w:color w:val="auto"/>
              </w:rPr>
            </w:pPr>
            <w:r>
              <w:rPr>
                <w:rFonts w:ascii="Times New Roman" w:cs="Times New Roman" w:eastAsia="Times New Roman" w:hAnsi="Times New Roman"/>
                <w:sz w:val="16"/>
                <w:szCs w:val="16"/>
                <w:color w:val="0000FF"/>
                <w:w w:val="96"/>
              </w:rPr>
              <w:t>Assignability</w:t>
            </w:r>
          </w:p>
        </w:tc>
        <w:tc>
          <w:tcPr>
            <w:tcW w:w="140" w:type="dxa"/>
            <w:vAlign w:val="bottom"/>
            <w:tcBorders>
              <w:top w:val="single" w:sz="8" w:color="0000FF"/>
            </w:tcBorders>
            <w:gridSpan w:val="2"/>
          </w:tcPr>
          <w:p>
            <w:pPr>
              <w:spacing w:after="0"/>
              <w:rPr>
                <w:sz w:val="14"/>
                <w:szCs w:val="14"/>
                <w:color w:val="auto"/>
              </w:rPr>
            </w:pPr>
          </w:p>
        </w:tc>
        <w:tc>
          <w:tcPr>
            <w:tcW w:w="620" w:type="dxa"/>
            <w:vAlign w:val="bottom"/>
            <w:tcBorders>
              <w:top w:val="single" w:sz="8" w:color="0000FF"/>
            </w:tcBorders>
          </w:tcPr>
          <w:p>
            <w:pPr>
              <w:jc w:val="right"/>
              <w:ind w:right="302"/>
              <w:spacing w:after="0" w:line="171" w:lineRule="exact"/>
              <w:rPr>
                <w:sz w:val="20"/>
                <w:szCs w:val="20"/>
                <w:color w:val="auto"/>
              </w:rPr>
            </w:pPr>
            <w:r>
              <w:rPr>
                <w:rFonts w:ascii="Times New Roman" w:cs="Times New Roman" w:eastAsia="Times New Roman" w:hAnsi="Times New Roman"/>
                <w:sz w:val="16"/>
                <w:szCs w:val="16"/>
                <w:color w:val="auto"/>
                <w:w w:val="91"/>
              </w:rPr>
              <w:t>124</w:t>
            </w: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12.07</w:t>
            </w:r>
          </w:p>
        </w:tc>
        <w:tc>
          <w:tcPr>
            <w:tcW w:w="1060" w:type="dxa"/>
            <w:vAlign w:val="bottom"/>
            <w:tcBorders>
              <w:bottom w:val="single" w:sz="8" w:color="0000FF"/>
            </w:tcBorders>
            <w:gridSpan w:val="8"/>
          </w:tcPr>
          <w:p>
            <w:pPr>
              <w:ind w:left="80"/>
              <w:spacing w:after="0" w:line="161" w:lineRule="exact"/>
              <w:rPr>
                <w:sz w:val="20"/>
                <w:szCs w:val="20"/>
                <w:color w:val="auto"/>
              </w:rPr>
            </w:pPr>
            <w:r>
              <w:rPr>
                <w:rFonts w:ascii="Times New Roman" w:cs="Times New Roman" w:eastAsia="Times New Roman" w:hAnsi="Times New Roman"/>
                <w:sz w:val="16"/>
                <w:szCs w:val="16"/>
                <w:color w:val="0000FF"/>
                <w:w w:val="95"/>
              </w:rPr>
              <w:t>Governing Law</w:t>
            </w:r>
          </w:p>
        </w:tc>
        <w:tc>
          <w:tcPr>
            <w:tcW w:w="620" w:type="dxa"/>
            <w:vAlign w:val="bottom"/>
          </w:tcPr>
          <w:p>
            <w:pPr>
              <w:jc w:val="right"/>
              <w:ind w:right="142"/>
              <w:spacing w:after="0" w:line="161" w:lineRule="exact"/>
              <w:rPr>
                <w:sz w:val="20"/>
                <w:szCs w:val="20"/>
                <w:color w:val="auto"/>
              </w:rPr>
            </w:pPr>
            <w:r>
              <w:rPr>
                <w:rFonts w:ascii="Times New Roman" w:cs="Times New Roman" w:eastAsia="Times New Roman" w:hAnsi="Times New Roman"/>
                <w:sz w:val="16"/>
                <w:szCs w:val="16"/>
                <w:color w:val="auto"/>
              </w:rPr>
              <w:t>124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12.08</w:t>
            </w:r>
          </w:p>
        </w:tc>
        <w:tc>
          <w:tcPr>
            <w:tcW w:w="1840" w:type="dxa"/>
            <w:vAlign w:val="bottom"/>
            <w:gridSpan w:val="12"/>
          </w:tcPr>
          <w:p>
            <w:pPr>
              <w:ind w:left="80"/>
              <w:spacing w:after="0" w:line="171" w:lineRule="exact"/>
              <w:rPr>
                <w:sz w:val="20"/>
                <w:szCs w:val="20"/>
                <w:color w:val="auto"/>
              </w:rPr>
            </w:pPr>
            <w:r>
              <w:rPr>
                <w:rFonts w:ascii="Times New Roman" w:cs="Times New Roman" w:eastAsia="Times New Roman" w:hAnsi="Times New Roman"/>
                <w:sz w:val="16"/>
                <w:szCs w:val="16"/>
                <w:color w:val="0000FF"/>
              </w:rPr>
              <w:t>Severability of Provisions</w:t>
            </w:r>
          </w:p>
        </w:tc>
        <w:tc>
          <w:tcPr>
            <w:tcW w:w="540" w:type="dxa"/>
            <w:vAlign w:val="bottom"/>
          </w:tcPr>
          <w:p>
            <w:pPr>
              <w:jc w:val="right"/>
              <w:ind w:right="222"/>
              <w:spacing w:after="0" w:line="171" w:lineRule="exact"/>
              <w:rPr>
                <w:sz w:val="20"/>
                <w:szCs w:val="20"/>
                <w:color w:val="auto"/>
              </w:rPr>
            </w:pPr>
            <w:r>
              <w:rPr>
                <w:rFonts w:ascii="Times New Roman" w:cs="Times New Roman" w:eastAsia="Times New Roman" w:hAnsi="Times New Roman"/>
                <w:sz w:val="16"/>
                <w:szCs w:val="16"/>
                <w:color w:val="auto"/>
                <w:w w:val="91"/>
              </w:rPr>
              <w:t>125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Borders>
              <w:top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12.09</w:t>
            </w:r>
          </w:p>
        </w:tc>
        <w:tc>
          <w:tcPr>
            <w:tcW w:w="1060" w:type="dxa"/>
            <w:vAlign w:val="bottom"/>
            <w:tcBorders>
              <w:top w:val="single" w:sz="8" w:color="0000FF"/>
            </w:tcBorders>
            <w:gridSpan w:val="8"/>
          </w:tcPr>
          <w:p>
            <w:pPr>
              <w:ind w:left="80"/>
              <w:spacing w:after="0" w:line="161" w:lineRule="exact"/>
              <w:rPr>
                <w:sz w:val="20"/>
                <w:szCs w:val="20"/>
                <w:color w:val="auto"/>
              </w:rPr>
            </w:pPr>
            <w:r>
              <w:rPr>
                <w:rFonts w:ascii="Times New Roman" w:cs="Times New Roman" w:eastAsia="Times New Roman" w:hAnsi="Times New Roman"/>
                <w:sz w:val="16"/>
                <w:szCs w:val="16"/>
                <w:color w:val="0000FF"/>
                <w:w w:val="99"/>
              </w:rPr>
              <w:t>Confidentiality</w:t>
            </w:r>
          </w:p>
        </w:tc>
        <w:tc>
          <w:tcPr>
            <w:tcW w:w="620" w:type="dxa"/>
            <w:vAlign w:val="bottom"/>
            <w:tcBorders>
              <w:top w:val="single" w:sz="8" w:color="0000FF"/>
            </w:tcBorders>
          </w:tcPr>
          <w:p>
            <w:pPr>
              <w:jc w:val="right"/>
              <w:ind w:right="182"/>
              <w:spacing w:after="0" w:line="161" w:lineRule="exact"/>
              <w:rPr>
                <w:sz w:val="20"/>
                <w:szCs w:val="20"/>
                <w:color w:val="auto"/>
              </w:rPr>
            </w:pPr>
            <w:r>
              <w:rPr>
                <w:rFonts w:ascii="Times New Roman" w:cs="Times New Roman" w:eastAsia="Times New Roman" w:hAnsi="Times New Roman"/>
                <w:sz w:val="16"/>
                <w:szCs w:val="16"/>
                <w:color w:val="auto"/>
              </w:rPr>
              <w:t>125</w:t>
            </w: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12.10</w:t>
            </w:r>
          </w:p>
        </w:tc>
        <w:tc>
          <w:tcPr>
            <w:tcW w:w="540" w:type="dxa"/>
            <w:vAlign w:val="bottom"/>
            <w:tcBorders>
              <w:top w:val="single" w:sz="8" w:color="0000FF"/>
              <w:bottom w:val="single" w:sz="8" w:color="0000FF"/>
            </w:tcBorders>
            <w:gridSpan w:val="2"/>
          </w:tcPr>
          <w:p>
            <w:pPr>
              <w:ind w:left="80"/>
              <w:spacing w:after="0" w:line="171" w:lineRule="exact"/>
              <w:rPr>
                <w:sz w:val="20"/>
                <w:szCs w:val="20"/>
                <w:color w:val="auto"/>
              </w:rPr>
            </w:pPr>
            <w:r>
              <w:rPr>
                <w:rFonts w:ascii="Times New Roman" w:cs="Times New Roman" w:eastAsia="Times New Roman" w:hAnsi="Times New Roman"/>
                <w:sz w:val="16"/>
                <w:szCs w:val="16"/>
                <w:color w:val="0000FF"/>
                <w:w w:val="93"/>
              </w:rPr>
              <w:t>Merger</w:t>
            </w:r>
          </w:p>
        </w:tc>
        <w:tc>
          <w:tcPr>
            <w:tcW w:w="480" w:type="dxa"/>
            <w:vAlign w:val="bottom"/>
            <w:tcBorders>
              <w:top w:val="single" w:sz="8" w:color="0000FF"/>
            </w:tcBorders>
            <w:gridSpan w:val="5"/>
          </w:tcPr>
          <w:p>
            <w:pPr>
              <w:jc w:val="right"/>
              <w:ind w:right="100"/>
              <w:spacing w:after="0" w:line="171" w:lineRule="exact"/>
              <w:rPr>
                <w:sz w:val="20"/>
                <w:szCs w:val="20"/>
                <w:color w:val="auto"/>
              </w:rPr>
            </w:pPr>
            <w:r>
              <w:rPr>
                <w:rFonts w:ascii="Times New Roman" w:cs="Times New Roman" w:eastAsia="Times New Roman" w:hAnsi="Times New Roman"/>
                <w:sz w:val="16"/>
                <w:szCs w:val="16"/>
                <w:color w:val="auto"/>
              </w:rPr>
              <w:t>126</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12.11</w:t>
            </w:r>
          </w:p>
        </w:tc>
        <w:tc>
          <w:tcPr>
            <w:tcW w:w="1060" w:type="dxa"/>
            <w:vAlign w:val="bottom"/>
            <w:gridSpan w:val="8"/>
          </w:tcPr>
          <w:p>
            <w:pPr>
              <w:ind w:left="80"/>
              <w:spacing w:after="0" w:line="171" w:lineRule="exact"/>
              <w:rPr>
                <w:sz w:val="20"/>
                <w:szCs w:val="20"/>
                <w:color w:val="auto"/>
              </w:rPr>
            </w:pPr>
            <w:r>
              <w:rPr>
                <w:rFonts w:ascii="Times New Roman" w:cs="Times New Roman" w:eastAsia="Times New Roman" w:hAnsi="Times New Roman"/>
                <w:sz w:val="16"/>
                <w:szCs w:val="16"/>
                <w:color w:val="0000FF"/>
              </w:rPr>
              <w:t xml:space="preserve">Survival  </w:t>
            </w:r>
            <w:r>
              <w:rPr>
                <w:rFonts w:ascii="Times New Roman" w:cs="Times New Roman" w:eastAsia="Times New Roman" w:hAnsi="Times New Roman"/>
                <w:sz w:val="16"/>
                <w:szCs w:val="16"/>
                <w:color w:val="000000"/>
              </w:rPr>
              <w:t>127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rPr>
              <w:t>Section 12.12</w:t>
            </w:r>
          </w:p>
        </w:tc>
        <w:tc>
          <w:tcPr>
            <w:tcW w:w="3000" w:type="dxa"/>
            <w:vAlign w:val="bottom"/>
            <w:gridSpan w:val="17"/>
          </w:tcPr>
          <w:p>
            <w:pPr>
              <w:ind w:left="80"/>
              <w:spacing w:after="0" w:line="161" w:lineRule="exact"/>
              <w:rPr>
                <w:sz w:val="20"/>
                <w:szCs w:val="20"/>
                <w:color w:val="auto"/>
              </w:rPr>
            </w:pPr>
            <w:r>
              <w:rPr>
                <w:rFonts w:ascii="Times New Roman" w:cs="Times New Roman" w:eastAsia="Times New Roman" w:hAnsi="Times New Roman"/>
                <w:sz w:val="16"/>
                <w:szCs w:val="16"/>
                <w:color w:val="0000FF"/>
                <w:w w:val="98"/>
              </w:rPr>
              <w:t xml:space="preserve">Submission to Jurisdiction; Waivers; Etc  </w:t>
            </w:r>
            <w:r>
              <w:rPr>
                <w:rFonts w:ascii="Times New Roman" w:cs="Times New Roman" w:eastAsia="Times New Roman" w:hAnsi="Times New Roman"/>
                <w:sz w:val="16"/>
                <w:szCs w:val="16"/>
                <w:color w:val="000000"/>
                <w:w w:val="98"/>
              </w:rPr>
              <w:t>127</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12.13</w:t>
            </w:r>
          </w:p>
        </w:tc>
        <w:tc>
          <w:tcPr>
            <w:tcW w:w="2480" w:type="dxa"/>
            <w:vAlign w:val="bottom"/>
            <w:tcBorders>
              <w:top w:val="single" w:sz="8" w:color="0000FF"/>
            </w:tcBorders>
            <w:gridSpan w:val="15"/>
          </w:tcPr>
          <w:p>
            <w:pPr>
              <w:ind w:left="80"/>
              <w:spacing w:after="0" w:line="171" w:lineRule="exact"/>
              <w:rPr>
                <w:sz w:val="20"/>
                <w:szCs w:val="20"/>
                <w:color w:val="auto"/>
              </w:rPr>
            </w:pPr>
            <w:r>
              <w:rPr>
                <w:rFonts w:ascii="Times New Roman" w:cs="Times New Roman" w:eastAsia="Times New Roman" w:hAnsi="Times New Roman"/>
                <w:sz w:val="16"/>
                <w:szCs w:val="16"/>
                <w:color w:val="0000FF"/>
              </w:rPr>
              <w:t xml:space="preserve">WAIVER OF JURY TRIAL  </w:t>
            </w:r>
            <w:r>
              <w:rPr>
                <w:rFonts w:ascii="Times New Roman" w:cs="Times New Roman" w:eastAsia="Times New Roman" w:hAnsi="Times New Roman"/>
                <w:sz w:val="16"/>
                <w:szCs w:val="16"/>
                <w:color w:val="000000"/>
              </w:rPr>
              <w:t>127</w:t>
            </w:r>
          </w:p>
        </w:tc>
        <w:tc>
          <w:tcPr>
            <w:tcW w:w="14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80" w:type="dxa"/>
            <w:vAlign w:val="bottom"/>
            <w:gridSpan w:val="9"/>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12.14</w:t>
            </w:r>
          </w:p>
        </w:tc>
        <w:tc>
          <w:tcPr>
            <w:tcW w:w="1680" w:type="dxa"/>
            <w:vAlign w:val="bottom"/>
            <w:tcBorders>
              <w:bottom w:val="single" w:sz="8" w:color="0000FF"/>
            </w:tcBorders>
            <w:gridSpan w:val="9"/>
          </w:tcPr>
          <w:p>
            <w:pPr>
              <w:ind w:left="80"/>
              <w:spacing w:after="0" w:line="161" w:lineRule="exact"/>
              <w:rPr>
                <w:sz w:val="20"/>
                <w:szCs w:val="20"/>
                <w:color w:val="auto"/>
              </w:rPr>
            </w:pPr>
            <w:r>
              <w:rPr>
                <w:rFonts w:ascii="Times New Roman" w:cs="Times New Roman" w:eastAsia="Times New Roman" w:hAnsi="Times New Roman"/>
                <w:sz w:val="16"/>
                <w:szCs w:val="16"/>
                <w:color w:val="0000FF"/>
                <w:w w:val="96"/>
              </w:rPr>
              <w:t>SERVICE OF PROCESS</w:t>
            </w:r>
          </w:p>
        </w:tc>
        <w:tc>
          <w:tcPr>
            <w:tcW w:w="160" w:type="dxa"/>
            <w:vAlign w:val="bottom"/>
            <w:gridSpan w:val="3"/>
          </w:tcPr>
          <w:p>
            <w:pPr>
              <w:spacing w:after="0"/>
              <w:rPr>
                <w:sz w:val="13"/>
                <w:szCs w:val="13"/>
                <w:color w:val="auto"/>
              </w:rPr>
            </w:pPr>
          </w:p>
        </w:tc>
        <w:tc>
          <w:tcPr>
            <w:tcW w:w="540" w:type="dxa"/>
            <w:vAlign w:val="bottom"/>
          </w:tcPr>
          <w:p>
            <w:pPr>
              <w:jc w:val="right"/>
              <w:ind w:right="242"/>
              <w:spacing w:after="0" w:line="161" w:lineRule="exact"/>
              <w:rPr>
                <w:sz w:val="20"/>
                <w:szCs w:val="20"/>
                <w:color w:val="auto"/>
              </w:rPr>
            </w:pPr>
            <w:r>
              <w:rPr>
                <w:rFonts w:ascii="Times New Roman" w:cs="Times New Roman" w:eastAsia="Times New Roman" w:hAnsi="Times New Roman"/>
                <w:sz w:val="16"/>
                <w:szCs w:val="16"/>
                <w:color w:val="auto"/>
                <w:w w:val="83"/>
              </w:rPr>
              <w:t>128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00" w:top="120" w:right="399" w:bottom="1440" w:gutter="0" w:footer="0" w:header="0"/>
        </w:sectPr>
      </w:pPr>
    </w:p>
    <w:bookmarkStart w:id="201" w:name="page202"/>
    <w:bookmarkEnd w:id="201"/>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(continued)</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Section 12.15</w:t>
            </w:r>
          </w:p>
        </w:tc>
        <w:tc>
          <w:tcPr>
            <w:tcW w:w="1120" w:type="dxa"/>
            <w:vAlign w:val="bottom"/>
            <w:tcBorders>
              <w:bottom w:val="single" w:sz="8" w:color="0000FF"/>
            </w:tcBorders>
            <w:gridSpan w:val="5"/>
          </w:tcPr>
          <w:p>
            <w:pPr>
              <w:ind w:left="80"/>
              <w:spacing w:after="0"/>
              <w:rPr>
                <w:sz w:val="20"/>
                <w:szCs w:val="20"/>
                <w:color w:val="auto"/>
              </w:rPr>
            </w:pPr>
            <w:r>
              <w:rPr>
                <w:rFonts w:ascii="Times New Roman" w:cs="Times New Roman" w:eastAsia="Times New Roman" w:hAnsi="Times New Roman"/>
                <w:sz w:val="16"/>
                <w:szCs w:val="16"/>
                <w:color w:val="0000FF"/>
                <w:w w:val="94"/>
              </w:rPr>
              <w:t>Waiver of Setoff</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c>
          <w:tcPr>
            <w:tcW w:w="1780" w:type="dxa"/>
            <w:vAlign w:val="bottom"/>
            <w:vMerge w:val="restart"/>
          </w:tcPr>
          <w:p>
            <w:pPr>
              <w:jc w:val="right"/>
              <w:ind w:right="1442"/>
              <w:spacing w:after="0"/>
              <w:rPr>
                <w:sz w:val="20"/>
                <w:szCs w:val="20"/>
                <w:color w:val="auto"/>
              </w:rPr>
            </w:pPr>
            <w:r>
              <w:rPr>
                <w:rFonts w:ascii="Times New Roman" w:cs="Times New Roman" w:eastAsia="Times New Roman" w:hAnsi="Times New Roman"/>
                <w:sz w:val="16"/>
                <w:szCs w:val="16"/>
                <w:color w:val="auto"/>
                <w:w w:val="99"/>
              </w:rPr>
              <w:t>128</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rPr>
              <w:t>Section 12.16</w:t>
            </w:r>
          </w:p>
        </w:tc>
        <w:tc>
          <w:tcPr>
            <w:tcW w:w="1560" w:type="dxa"/>
            <w:vAlign w:val="bottom"/>
            <w:gridSpan w:val="9"/>
          </w:tcPr>
          <w:p>
            <w:pPr>
              <w:ind w:left="80"/>
              <w:spacing w:after="0" w:line="161" w:lineRule="exact"/>
              <w:rPr>
                <w:sz w:val="20"/>
                <w:szCs w:val="20"/>
                <w:color w:val="auto"/>
              </w:rPr>
            </w:pPr>
            <w:r>
              <w:rPr>
                <w:rFonts w:ascii="Times New Roman" w:cs="Times New Roman" w:eastAsia="Times New Roman" w:hAnsi="Times New Roman"/>
                <w:sz w:val="16"/>
                <w:szCs w:val="16"/>
                <w:color w:val="0000FF"/>
              </w:rPr>
              <w:t>PATRIOT Act Notice</w:t>
            </w:r>
          </w:p>
        </w:tc>
        <w:tc>
          <w:tcPr>
            <w:tcW w:w="17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12.17</w:t>
            </w:r>
          </w:p>
        </w:tc>
        <w:tc>
          <w:tcPr>
            <w:tcW w:w="1000" w:type="dxa"/>
            <w:vAlign w:val="bottom"/>
            <w:tcBorders>
              <w:top w:val="single" w:sz="8" w:color="0000FF"/>
              <w:bottom w:val="single" w:sz="8" w:color="0000FF"/>
            </w:tcBorders>
            <w:gridSpan w:val="4"/>
          </w:tcPr>
          <w:p>
            <w:pPr>
              <w:ind w:left="80"/>
              <w:spacing w:after="0" w:line="171" w:lineRule="exact"/>
              <w:rPr>
                <w:sz w:val="20"/>
                <w:szCs w:val="20"/>
                <w:color w:val="auto"/>
              </w:rPr>
            </w:pPr>
            <w:r>
              <w:rPr>
                <w:rFonts w:ascii="Times New Roman" w:cs="Times New Roman" w:eastAsia="Times New Roman" w:hAnsi="Times New Roman"/>
                <w:sz w:val="16"/>
                <w:szCs w:val="16"/>
                <w:color w:val="0000FF"/>
                <w:w w:val="95"/>
              </w:rPr>
              <w:t>Business Days</w:t>
            </w:r>
          </w:p>
        </w:tc>
        <w:tc>
          <w:tcPr>
            <w:tcW w:w="1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w w:val="99"/>
              </w:rPr>
              <w:t>128</w:t>
            </w: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vMerge w:val="restart"/>
          </w:tcPr>
          <w:p>
            <w:pPr>
              <w:jc w:val="right"/>
              <w:ind w:right="1302"/>
              <w:spacing w:after="0"/>
              <w:rPr>
                <w:sz w:val="20"/>
                <w:szCs w:val="20"/>
                <w:color w:val="auto"/>
              </w:rPr>
            </w:pPr>
            <w:r>
              <w:rPr>
                <w:rFonts w:ascii="Times New Roman" w:cs="Times New Roman" w:eastAsia="Times New Roman" w:hAnsi="Times New Roman"/>
                <w:sz w:val="16"/>
                <w:szCs w:val="16"/>
                <w:color w:val="auto"/>
              </w:rPr>
              <w:t>128</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6"/>
                <w:szCs w:val="16"/>
                <w:color w:val="0000FF"/>
              </w:rPr>
              <w:t>Section 12.18</w:t>
            </w:r>
          </w:p>
        </w:tc>
        <w:tc>
          <w:tcPr>
            <w:tcW w:w="1560" w:type="dxa"/>
            <w:vAlign w:val="bottom"/>
            <w:tcBorders>
              <w:bottom w:val="single" w:sz="8" w:color="0000FF"/>
            </w:tcBorders>
            <w:gridSpan w:val="9"/>
          </w:tcPr>
          <w:p>
            <w:pPr>
              <w:ind w:left="80"/>
              <w:spacing w:after="0" w:line="161" w:lineRule="exact"/>
              <w:rPr>
                <w:sz w:val="20"/>
                <w:szCs w:val="20"/>
                <w:color w:val="auto"/>
              </w:rPr>
            </w:pPr>
            <w:r>
              <w:rPr>
                <w:rFonts w:ascii="Times New Roman" w:cs="Times New Roman" w:eastAsia="Times New Roman" w:hAnsi="Times New Roman"/>
                <w:sz w:val="16"/>
                <w:szCs w:val="16"/>
                <w:color w:val="0000FF"/>
                <w:w w:val="96"/>
              </w:rPr>
              <w:t>Third Party Beneficiary</w:t>
            </w:r>
          </w:p>
        </w:tc>
        <w:tc>
          <w:tcPr>
            <w:tcW w:w="17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bottom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12.19</w:t>
            </w:r>
          </w:p>
        </w:tc>
        <w:tc>
          <w:tcPr>
            <w:tcW w:w="1280" w:type="dxa"/>
            <w:vAlign w:val="bottom"/>
            <w:tcBorders>
              <w:bottom w:val="single" w:sz="8" w:color="0000FF"/>
            </w:tcBorders>
            <w:gridSpan w:val="6"/>
          </w:tcPr>
          <w:p>
            <w:pPr>
              <w:ind w:left="80"/>
              <w:spacing w:after="0" w:line="171" w:lineRule="exact"/>
              <w:rPr>
                <w:sz w:val="20"/>
                <w:szCs w:val="20"/>
                <w:color w:val="auto"/>
              </w:rPr>
            </w:pPr>
            <w:r>
              <w:rPr>
                <w:rFonts w:ascii="Times New Roman" w:cs="Times New Roman" w:eastAsia="Times New Roman" w:hAnsi="Times New Roman"/>
                <w:sz w:val="16"/>
                <w:szCs w:val="16"/>
                <w:color w:val="0000FF"/>
                <w:w w:val="95"/>
              </w:rPr>
              <w:t>No Fiduciary Duty</w:t>
            </w:r>
          </w:p>
        </w:tc>
        <w:tc>
          <w:tcPr>
            <w:tcW w:w="120" w:type="dxa"/>
            <w:vAlign w:val="bottom"/>
          </w:tcPr>
          <w:p>
            <w:pPr>
              <w:spacing w:after="0"/>
              <w:rPr>
                <w:sz w:val="14"/>
                <w:szCs w:val="14"/>
                <w:color w:val="auto"/>
              </w:rPr>
            </w:pPr>
          </w:p>
        </w:tc>
        <w:tc>
          <w:tcPr>
            <w:tcW w:w="1940" w:type="dxa"/>
            <w:vAlign w:val="bottom"/>
            <w:gridSpan w:val="3"/>
          </w:tcPr>
          <w:p>
            <w:pPr>
              <w:jc w:val="right"/>
              <w:ind w:right="1622"/>
              <w:spacing w:after="0" w:line="171" w:lineRule="exact"/>
              <w:rPr>
                <w:sz w:val="20"/>
                <w:szCs w:val="20"/>
                <w:color w:val="auto"/>
              </w:rPr>
            </w:pPr>
            <w:r>
              <w:rPr>
                <w:rFonts w:ascii="Times New Roman" w:cs="Times New Roman" w:eastAsia="Times New Roman" w:hAnsi="Times New Roman"/>
                <w:sz w:val="16"/>
                <w:szCs w:val="16"/>
                <w:color w:val="auto"/>
                <w:w w:val="91"/>
              </w:rPr>
              <w:t>128</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12.20</w:t>
            </w:r>
          </w:p>
        </w:tc>
        <w:tc>
          <w:tcPr>
            <w:tcW w:w="5200" w:type="dxa"/>
            <w:vAlign w:val="bottom"/>
            <w:gridSpan w:val="14"/>
          </w:tcPr>
          <w:p>
            <w:pPr>
              <w:ind w:left="80"/>
              <w:spacing w:after="0" w:line="171" w:lineRule="exact"/>
              <w:rPr>
                <w:sz w:val="20"/>
                <w:szCs w:val="20"/>
                <w:color w:val="auto"/>
              </w:rPr>
            </w:pPr>
            <w:r>
              <w:rPr>
                <w:rFonts w:ascii="Times New Roman" w:cs="Times New Roman" w:eastAsia="Times New Roman" w:hAnsi="Times New Roman"/>
                <w:sz w:val="16"/>
                <w:szCs w:val="16"/>
                <w:color w:val="0000FF"/>
              </w:rPr>
              <w:t xml:space="preserve">Non-Reliance on Administrative Agent and other Lenders  </w:t>
            </w:r>
            <w:r>
              <w:rPr>
                <w:rFonts w:ascii="Times New Roman" w:cs="Times New Roman" w:eastAsia="Times New Roman" w:hAnsi="Times New Roman"/>
                <w:sz w:val="16"/>
                <w:szCs w:val="16"/>
                <w:color w:val="000000"/>
              </w:rPr>
              <w:t>129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9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0000FF"/>
              </w:rPr>
              <w:t>Section 12.21</w:t>
            </w:r>
          </w:p>
        </w:tc>
        <w:tc>
          <w:tcPr>
            <w:tcW w:w="5200" w:type="dxa"/>
            <w:vAlign w:val="bottom"/>
            <w:gridSpan w:val="14"/>
          </w:tcPr>
          <w:p>
            <w:pPr>
              <w:ind w:left="80"/>
              <w:spacing w:after="0" w:line="161" w:lineRule="exact"/>
              <w:rPr>
                <w:sz w:val="20"/>
                <w:szCs w:val="20"/>
                <w:color w:val="auto"/>
              </w:rPr>
            </w:pPr>
            <w:r>
              <w:rPr>
                <w:rFonts w:ascii="Times New Roman" w:cs="Times New Roman" w:eastAsia="Times New Roman" w:hAnsi="Times New Roman"/>
                <w:sz w:val="16"/>
                <w:szCs w:val="16"/>
                <w:color w:val="0000FF"/>
                <w:w w:val="98"/>
              </w:rPr>
              <w:t xml:space="preserve">Acknowledgement and Consent to Bail-In of Affected Financial Institutions  </w:t>
            </w:r>
            <w:r>
              <w:rPr>
                <w:rFonts w:ascii="Times New Roman" w:cs="Times New Roman" w:eastAsia="Times New Roman" w:hAnsi="Times New Roman"/>
                <w:sz w:val="16"/>
                <w:szCs w:val="16"/>
                <w:color w:val="000000"/>
                <w:w w:val="98"/>
              </w:rPr>
              <w:t>129</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Borders>
              <w:top w:val="single" w:sz="8" w:color="0000FF"/>
            </w:tcBorders>
          </w:tcPr>
          <w:p>
            <w:pPr>
              <w:spacing w:after="0" w:line="171" w:lineRule="exact"/>
              <w:rPr>
                <w:sz w:val="20"/>
                <w:szCs w:val="20"/>
                <w:color w:val="auto"/>
              </w:rPr>
            </w:pPr>
            <w:r>
              <w:rPr>
                <w:rFonts w:ascii="Times New Roman" w:cs="Times New Roman" w:eastAsia="Times New Roman" w:hAnsi="Times New Roman"/>
                <w:sz w:val="16"/>
                <w:szCs w:val="16"/>
                <w:color w:val="0000FF"/>
              </w:rPr>
              <w:t>Section 12.22</w:t>
            </w:r>
          </w:p>
        </w:tc>
        <w:tc>
          <w:tcPr>
            <w:tcW w:w="4820" w:type="dxa"/>
            <w:vAlign w:val="bottom"/>
            <w:tcBorders>
              <w:top w:val="single" w:sz="8" w:color="0000FF"/>
            </w:tcBorders>
            <w:gridSpan w:val="13"/>
          </w:tcPr>
          <w:p>
            <w:pPr>
              <w:ind w:left="80"/>
              <w:spacing w:after="0" w:line="171" w:lineRule="exact"/>
              <w:rPr>
                <w:sz w:val="20"/>
                <w:szCs w:val="20"/>
                <w:color w:val="auto"/>
              </w:rPr>
            </w:pPr>
            <w:r>
              <w:rPr>
                <w:rFonts w:ascii="Times New Roman" w:cs="Times New Roman" w:eastAsia="Times New Roman" w:hAnsi="Times New Roman"/>
                <w:sz w:val="16"/>
                <w:szCs w:val="16"/>
                <w:color w:val="0000FF"/>
              </w:rPr>
              <w:t xml:space="preserve">Acknowledgement Regarding Any Supported QFCs  </w:t>
            </w:r>
            <w:r>
              <w:rPr>
                <w:rFonts w:ascii="Times New Roman" w:cs="Times New Roman" w:eastAsia="Times New Roman" w:hAnsi="Times New Roman"/>
                <w:sz w:val="16"/>
                <w:szCs w:val="16"/>
                <w:color w:val="000000"/>
              </w:rPr>
              <w:t>130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320" w:type="dxa"/>
            <w:vAlign w:val="bottom"/>
            <w:tcBorders>
              <w:top w:val="single" w:sz="8" w:color="0000FF"/>
            </w:tcBorders>
            <w:gridSpan w:val="8"/>
          </w:tcPr>
          <w:p>
            <w:pPr>
              <w:spacing w:after="0" w:line="161" w:lineRule="exact"/>
              <w:rPr>
                <w:sz w:val="20"/>
                <w:szCs w:val="20"/>
                <w:color w:val="auto"/>
              </w:rPr>
            </w:pPr>
            <w:r>
              <w:rPr>
                <w:rFonts w:ascii="Times New Roman" w:cs="Times New Roman" w:eastAsia="Times New Roman" w:hAnsi="Times New Roman"/>
                <w:sz w:val="16"/>
                <w:szCs w:val="16"/>
                <w:color w:val="0000FF"/>
              </w:rPr>
              <w:t xml:space="preserve">Section 12.23  Non-Petition.  </w:t>
            </w:r>
            <w:r>
              <w:rPr>
                <w:rFonts w:ascii="Times New Roman" w:cs="Times New Roman" w:eastAsia="Times New Roman" w:hAnsi="Times New Roman"/>
                <w:sz w:val="16"/>
                <w:szCs w:val="16"/>
                <w:color w:val="000000"/>
              </w:rPr>
              <w:t>130</w:t>
            </w: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 xml:space="preserve">ARTICLE 13. SYNDICATION  </w:t>
            </w:r>
            <w:r>
              <w:rPr>
                <w:rFonts w:ascii="Times New Roman" w:cs="Times New Roman" w:eastAsia="Times New Roman" w:hAnsi="Times New Roman"/>
                <w:sz w:val="16"/>
                <w:szCs w:val="16"/>
                <w:color w:val="000000"/>
              </w:rPr>
              <w:t>131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color w:val="0000FF"/>
              </w:rPr>
              <w:t>Section 13.01</w:t>
            </w:r>
          </w:p>
        </w:tc>
        <w:tc>
          <w:tcPr>
            <w:tcW w:w="140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0000FF"/>
              </w:rPr>
              <w:t xml:space="preserve">Syndication  </w:t>
            </w:r>
            <w:r>
              <w:rPr>
                <w:rFonts w:ascii="Times New Roman" w:cs="Times New Roman" w:eastAsia="Times New Roman" w:hAnsi="Times New Roman"/>
                <w:sz w:val="16"/>
                <w:szCs w:val="16"/>
                <w:color w:val="000000"/>
              </w:rPr>
              <w:t>131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9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FF"/>
              </w:rPr>
              <w:t>Section 13.02</w:t>
            </w:r>
          </w:p>
        </w:tc>
        <w:tc>
          <w:tcPr>
            <w:tcW w:w="5200" w:type="dxa"/>
            <w:vAlign w:val="bottom"/>
            <w:gridSpan w:val="14"/>
          </w:tcPr>
          <w:p>
            <w:pPr>
              <w:ind w:left="80"/>
              <w:spacing w:after="0" w:line="171" w:lineRule="exact"/>
              <w:rPr>
                <w:sz w:val="20"/>
                <w:szCs w:val="20"/>
                <w:color w:val="auto"/>
              </w:rPr>
            </w:pPr>
            <w:r>
              <w:rPr>
                <w:rFonts w:ascii="Times New Roman" w:cs="Times New Roman" w:eastAsia="Times New Roman" w:hAnsi="Times New Roman"/>
                <w:sz w:val="16"/>
                <w:szCs w:val="16"/>
                <w:color w:val="0000FF"/>
              </w:rPr>
              <w:t xml:space="preserve">Assignment of Advances, Participations, Appointment of Agent  </w:t>
            </w:r>
            <w:r>
              <w:rPr>
                <w:rFonts w:ascii="Times New Roman" w:cs="Times New Roman" w:eastAsia="Times New Roman" w:hAnsi="Times New Roman"/>
                <w:sz w:val="16"/>
                <w:szCs w:val="16"/>
                <w:color w:val="000000"/>
              </w:rPr>
              <w:t>131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84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FF"/>
              </w:rPr>
              <w:t>Section 13.03  Cooperation in Syndication</w:t>
            </w:r>
          </w:p>
        </w:tc>
        <w:tc>
          <w:tcPr>
            <w:tcW w:w="1940" w:type="dxa"/>
            <w:vAlign w:val="bottom"/>
            <w:gridSpan w:val="3"/>
          </w:tcPr>
          <w:p>
            <w:pPr>
              <w:jc w:val="right"/>
              <w:ind w:right="1582"/>
              <w:spacing w:after="0" w:line="171" w:lineRule="exact"/>
              <w:rPr>
                <w:sz w:val="20"/>
                <w:szCs w:val="20"/>
                <w:color w:val="auto"/>
              </w:rPr>
            </w:pPr>
            <w:r>
              <w:rPr>
                <w:rFonts w:ascii="Times New Roman" w:cs="Times New Roman" w:eastAsia="Times New Roman" w:hAnsi="Times New Roman"/>
                <w:sz w:val="16"/>
                <w:szCs w:val="16"/>
                <w:color w:val="auto"/>
              </w:rPr>
              <w:t>134</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00" w:top="120" w:right="399" w:bottom="1440" w:gutter="0" w:footer="0" w:header="0"/>
        </w:sectPr>
      </w:pPr>
    </w:p>
    <w:bookmarkStart w:id="202" w:name="page203"/>
    <w:bookmarkEnd w:id="202"/>
    <w:p>
      <w:pPr>
        <w:jc w:val="right"/>
        <w:ind w:right="4179"/>
        <w:spacing w:after="0"/>
        <w:rPr>
          <w:sz w:val="20"/>
          <w:szCs w:val="20"/>
          <w:color w:val="auto"/>
        </w:rPr>
      </w:pPr>
      <w:r>
        <w:rPr>
          <w:rFonts w:ascii="Times New Roman" w:cs="Times New Roman" w:eastAsia="Times New Roman" w:hAnsi="Times New Roman"/>
          <w:sz w:val="16"/>
          <w:szCs w:val="16"/>
          <w:b w:val="1"/>
          <w:bCs w:val="1"/>
          <w:color w:val="auto"/>
        </w:rPr>
        <w:t>Schedules</w:t>
      </w:r>
    </w:p>
    <w:p>
      <w:pPr>
        <w:spacing w:after="0" w:line="179"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1</w:t>
        <w:tab/>
        <w:t>—</w:t>
      </w:r>
      <w:r>
        <w:rPr>
          <w:sz w:val="20"/>
          <w:szCs w:val="20"/>
          <w:color w:val="auto"/>
        </w:rPr>
        <w:tab/>
      </w:r>
      <w:r>
        <w:rPr>
          <w:rFonts w:ascii="Times New Roman" w:cs="Times New Roman" w:eastAsia="Times New Roman" w:hAnsi="Times New Roman"/>
          <w:sz w:val="14"/>
          <w:szCs w:val="14"/>
          <w:color w:val="auto"/>
        </w:rPr>
        <w:t>Lenders</w:t>
      </w:r>
    </w:p>
    <w:p>
      <w:pPr>
        <w:spacing w:after="0" w:line="14"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2</w:t>
        <w:tab/>
        <w:t>—</w:t>
      </w:r>
      <w:r>
        <w:rPr>
          <w:sz w:val="20"/>
          <w:szCs w:val="20"/>
          <w:color w:val="auto"/>
        </w:rPr>
        <w:tab/>
      </w:r>
      <w:r>
        <w:rPr>
          <w:rFonts w:ascii="Times New Roman" w:cs="Times New Roman" w:eastAsia="Times New Roman" w:hAnsi="Times New Roman"/>
          <w:sz w:val="14"/>
          <w:szCs w:val="14"/>
          <w:color w:val="auto"/>
        </w:rPr>
        <w:t>Eligible Card Accounts and Eligible Receivables</w:t>
      </w:r>
    </w:p>
    <w:p>
      <w:pPr>
        <w:spacing w:after="0" w:line="1"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3</w:t>
        <w:tab/>
        <w:t>—</w:t>
      </w:r>
      <w:r>
        <w:rPr>
          <w:sz w:val="20"/>
          <w:szCs w:val="20"/>
          <w:color w:val="auto"/>
        </w:rPr>
        <w:tab/>
      </w:r>
      <w:r>
        <w:rPr>
          <w:rFonts w:ascii="Times New Roman" w:cs="Times New Roman" w:eastAsia="Times New Roman" w:hAnsi="Times New Roman"/>
          <w:sz w:val="14"/>
          <w:szCs w:val="14"/>
          <w:color w:val="auto"/>
        </w:rPr>
        <w:t>Notice Information</w:t>
      </w:r>
    </w:p>
    <w:p>
      <w:pPr>
        <w:spacing w:after="0" w:line="3" w:lineRule="exact"/>
        <w:rPr>
          <w:sz w:val="20"/>
          <w:szCs w:val="20"/>
          <w:color w:val="auto"/>
        </w:rPr>
      </w:pPr>
    </w:p>
    <w:p>
      <w:pPr>
        <w:spacing w:after="0"/>
        <w:tabs>
          <w:tab w:leader="none" w:pos="820" w:val="left"/>
          <w:tab w:leader="none" w:pos="1120" w:val="left"/>
        </w:tabs>
        <w:rPr>
          <w:sz w:val="20"/>
          <w:szCs w:val="20"/>
          <w:color w:val="auto"/>
        </w:rPr>
      </w:pPr>
      <w:r>
        <w:rPr>
          <w:rFonts w:ascii="Times New Roman" w:cs="Times New Roman" w:eastAsia="Times New Roman" w:hAnsi="Times New Roman"/>
          <w:sz w:val="16"/>
          <w:szCs w:val="16"/>
          <w:color w:val="auto"/>
        </w:rPr>
        <w:t>Schedule 4</w:t>
        <w:tab/>
        <w:t>—</w:t>
      </w:r>
      <w:r>
        <w:rPr>
          <w:sz w:val="20"/>
          <w:szCs w:val="20"/>
          <w:color w:val="auto"/>
        </w:rPr>
        <w:tab/>
      </w:r>
      <w:r>
        <w:rPr>
          <w:rFonts w:ascii="Times New Roman" w:cs="Times New Roman" w:eastAsia="Times New Roman" w:hAnsi="Times New Roman"/>
          <w:sz w:val="14"/>
          <w:szCs w:val="14"/>
          <w:color w:val="auto"/>
        </w:rPr>
        <w:t>Account Details</w:t>
      </w:r>
    </w:p>
    <w:p>
      <w:pPr>
        <w:spacing w:after="0" w:line="1"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5</w:t>
        <w:tab/>
        <w:t>—</w:t>
      </w:r>
      <w:r>
        <w:rPr>
          <w:sz w:val="20"/>
          <w:szCs w:val="20"/>
          <w:color w:val="auto"/>
        </w:rPr>
        <w:tab/>
      </w:r>
      <w:r>
        <w:rPr>
          <w:rFonts w:ascii="Times New Roman" w:cs="Times New Roman" w:eastAsia="Times New Roman" w:hAnsi="Times New Roman"/>
          <w:sz w:val="14"/>
          <w:szCs w:val="14"/>
          <w:color w:val="auto"/>
        </w:rPr>
        <w:t>Form of Monthly Report</w:t>
      </w:r>
    </w:p>
    <w:p>
      <w:pPr>
        <w:spacing w:after="0" w:line="7"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6</w:t>
        <w:tab/>
        <w:t>—</w:t>
      </w:r>
      <w:r>
        <w:rPr>
          <w:sz w:val="20"/>
          <w:szCs w:val="20"/>
          <w:color w:val="auto"/>
        </w:rPr>
        <w:tab/>
      </w:r>
      <w:r>
        <w:rPr>
          <w:rFonts w:ascii="Times New Roman" w:cs="Times New Roman" w:eastAsia="Times New Roman" w:hAnsi="Times New Roman"/>
          <w:sz w:val="14"/>
          <w:szCs w:val="14"/>
          <w:color w:val="auto"/>
        </w:rPr>
        <w:t>[Reserved]</w:t>
      </w:r>
    </w:p>
    <w:p>
      <w:pPr>
        <w:spacing w:after="0" w:line="3"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7</w:t>
        <w:tab/>
        <w:t>—</w:t>
      </w:r>
      <w:r>
        <w:rPr>
          <w:sz w:val="20"/>
          <w:szCs w:val="20"/>
          <w:color w:val="auto"/>
        </w:rPr>
        <w:tab/>
      </w:r>
      <w:r>
        <w:rPr>
          <w:rFonts w:ascii="Times New Roman" w:cs="Times New Roman" w:eastAsia="Times New Roman" w:hAnsi="Times New Roman"/>
          <w:sz w:val="14"/>
          <w:szCs w:val="14"/>
          <w:color w:val="auto"/>
        </w:rPr>
        <w:t>Data Tape Information</w:t>
      </w:r>
    </w:p>
    <w:p>
      <w:pPr>
        <w:spacing w:after="0" w:line="1"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8</w:t>
        <w:tab/>
        <w:t>—</w:t>
      </w:r>
      <w:r>
        <w:rPr>
          <w:sz w:val="20"/>
          <w:szCs w:val="20"/>
          <w:color w:val="auto"/>
        </w:rPr>
        <w:tab/>
      </w:r>
      <w:r>
        <w:rPr>
          <w:rFonts w:ascii="Times New Roman" w:cs="Times New Roman" w:eastAsia="Times New Roman" w:hAnsi="Times New Roman"/>
          <w:sz w:val="14"/>
          <w:szCs w:val="14"/>
          <w:color w:val="auto"/>
        </w:rPr>
        <w:t>Disqualified Assignees</w:t>
      </w:r>
    </w:p>
    <w:p>
      <w:pPr>
        <w:spacing w:after="0" w:line="3"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16"/>
          <w:szCs w:val="16"/>
          <w:color w:val="auto"/>
        </w:rPr>
        <w:t>Schedule 9</w:t>
        <w:tab/>
        <w:t>—</w:t>
      </w:r>
      <w:r>
        <w:rPr>
          <w:sz w:val="20"/>
          <w:szCs w:val="20"/>
          <w:color w:val="auto"/>
        </w:rPr>
        <w:tab/>
      </w:r>
      <w:r>
        <w:rPr>
          <w:rFonts w:ascii="Times New Roman" w:cs="Times New Roman" w:eastAsia="Times New Roman" w:hAnsi="Times New Roman"/>
          <w:sz w:val="14"/>
          <w:szCs w:val="14"/>
          <w:color w:val="auto"/>
        </w:rPr>
        <w:t>Periodic Reporting Deliverables</w:t>
      </w:r>
    </w:p>
    <w:p>
      <w:pPr>
        <w:spacing w:after="0" w:line="200" w:lineRule="exact"/>
        <w:rPr>
          <w:sz w:val="20"/>
          <w:szCs w:val="20"/>
          <w:color w:val="auto"/>
        </w:rPr>
      </w:pPr>
    </w:p>
    <w:p>
      <w:pPr>
        <w:spacing w:after="0" w:line="3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b w:val="1"/>
          <w:bCs w:val="1"/>
          <w:color w:val="auto"/>
        </w:rPr>
        <w:t>Exhibits</w:t>
      </w:r>
    </w:p>
    <w:p>
      <w:pPr>
        <w:spacing w:after="0" w:line="179" w:lineRule="exact"/>
        <w:rPr>
          <w:sz w:val="20"/>
          <w:szCs w:val="20"/>
          <w:color w:val="auto"/>
        </w:rPr>
      </w:pPr>
    </w:p>
    <w:p>
      <w:pPr>
        <w:spacing w:after="0"/>
        <w:tabs>
          <w:tab w:leader="none" w:pos="740" w:val="left"/>
          <w:tab w:leader="none" w:pos="1060" w:val="left"/>
        </w:tabs>
        <w:rPr>
          <w:sz w:val="20"/>
          <w:szCs w:val="20"/>
          <w:color w:val="auto"/>
        </w:rPr>
      </w:pPr>
      <w:r>
        <w:rPr>
          <w:rFonts w:ascii="Times New Roman" w:cs="Times New Roman" w:eastAsia="Times New Roman" w:hAnsi="Times New Roman"/>
          <w:sz w:val="16"/>
          <w:szCs w:val="16"/>
          <w:color w:val="auto"/>
        </w:rPr>
        <w:t>Exhibit A</w:t>
        <w:tab/>
        <w:t>—</w:t>
      </w:r>
      <w:r>
        <w:rPr>
          <w:sz w:val="20"/>
          <w:szCs w:val="20"/>
          <w:color w:val="auto"/>
        </w:rPr>
        <w:tab/>
      </w:r>
      <w:r>
        <w:rPr>
          <w:rFonts w:ascii="Times New Roman" w:cs="Times New Roman" w:eastAsia="Times New Roman" w:hAnsi="Times New Roman"/>
          <w:sz w:val="14"/>
          <w:szCs w:val="14"/>
          <w:color w:val="auto"/>
        </w:rPr>
        <w:t>Form of Notice of Borrowing</w:t>
      </w:r>
    </w:p>
    <w:p>
      <w:pPr>
        <w:spacing w:after="0" w:line="14" w:lineRule="exact"/>
        <w:rPr>
          <w:sz w:val="20"/>
          <w:szCs w:val="20"/>
          <w:color w:val="auto"/>
        </w:rPr>
      </w:pPr>
    </w:p>
    <w:p>
      <w:pPr>
        <w:spacing w:after="0"/>
        <w:tabs>
          <w:tab w:leader="none" w:pos="740" w:val="left"/>
          <w:tab w:leader="none" w:pos="1060" w:val="left"/>
        </w:tabs>
        <w:rPr>
          <w:sz w:val="20"/>
          <w:szCs w:val="20"/>
          <w:color w:val="auto"/>
        </w:rPr>
      </w:pPr>
      <w:r>
        <w:rPr>
          <w:rFonts w:ascii="Times New Roman" w:cs="Times New Roman" w:eastAsia="Times New Roman" w:hAnsi="Times New Roman"/>
          <w:sz w:val="16"/>
          <w:szCs w:val="16"/>
          <w:color w:val="auto"/>
        </w:rPr>
        <w:t>Exhibit B</w:t>
        <w:tab/>
        <w:t>—</w:t>
      </w:r>
      <w:r>
        <w:rPr>
          <w:sz w:val="20"/>
          <w:szCs w:val="20"/>
          <w:color w:val="auto"/>
        </w:rPr>
        <w:tab/>
      </w:r>
      <w:r>
        <w:rPr>
          <w:rFonts w:ascii="Times New Roman" w:cs="Times New Roman" w:eastAsia="Times New Roman" w:hAnsi="Times New Roman"/>
          <w:sz w:val="14"/>
          <w:szCs w:val="14"/>
          <w:color w:val="auto"/>
        </w:rPr>
        <w:t>Form of Notice of Prepayment</w:t>
      </w:r>
    </w:p>
    <w:p>
      <w:pPr>
        <w:spacing w:after="0" w:line="1" w:lineRule="exact"/>
        <w:rPr>
          <w:sz w:val="20"/>
          <w:szCs w:val="20"/>
          <w:color w:val="auto"/>
        </w:rPr>
      </w:pPr>
    </w:p>
    <w:p>
      <w:pPr>
        <w:spacing w:after="0"/>
        <w:tabs>
          <w:tab w:leader="none" w:pos="740" w:val="left"/>
          <w:tab w:leader="none" w:pos="1060" w:val="left"/>
        </w:tabs>
        <w:rPr>
          <w:sz w:val="20"/>
          <w:szCs w:val="20"/>
          <w:color w:val="auto"/>
        </w:rPr>
      </w:pPr>
      <w:r>
        <w:rPr>
          <w:rFonts w:ascii="Times New Roman" w:cs="Times New Roman" w:eastAsia="Times New Roman" w:hAnsi="Times New Roman"/>
          <w:sz w:val="16"/>
          <w:szCs w:val="16"/>
          <w:color w:val="auto"/>
        </w:rPr>
        <w:t>Exhibit C</w:t>
        <w:tab/>
        <w:t>—</w:t>
      </w:r>
      <w:r>
        <w:rPr>
          <w:sz w:val="20"/>
          <w:szCs w:val="20"/>
          <w:color w:val="auto"/>
        </w:rPr>
        <w:tab/>
      </w:r>
      <w:r>
        <w:rPr>
          <w:rFonts w:ascii="Times New Roman" w:cs="Times New Roman" w:eastAsia="Times New Roman" w:hAnsi="Times New Roman"/>
          <w:sz w:val="14"/>
          <w:szCs w:val="14"/>
          <w:color w:val="auto"/>
        </w:rPr>
        <w:t>Form of Assignment and Acceptance</w:t>
      </w:r>
    </w:p>
    <w:p>
      <w:pPr>
        <w:spacing w:after="0" w:line="3" w:lineRule="exact"/>
        <w:rPr>
          <w:sz w:val="20"/>
          <w:szCs w:val="20"/>
          <w:color w:val="auto"/>
        </w:rPr>
      </w:pPr>
    </w:p>
    <w:p>
      <w:pPr>
        <w:spacing w:after="0"/>
        <w:tabs>
          <w:tab w:leader="none" w:pos="740" w:val="left"/>
          <w:tab w:leader="none" w:pos="1060" w:val="left"/>
        </w:tabs>
        <w:rPr>
          <w:sz w:val="20"/>
          <w:szCs w:val="20"/>
          <w:color w:val="auto"/>
        </w:rPr>
      </w:pPr>
      <w:r>
        <w:rPr>
          <w:rFonts w:ascii="Times New Roman" w:cs="Times New Roman" w:eastAsia="Times New Roman" w:hAnsi="Times New Roman"/>
          <w:sz w:val="16"/>
          <w:szCs w:val="16"/>
          <w:color w:val="auto"/>
        </w:rPr>
        <w:t>Exhibit D</w:t>
        <w:tab/>
        <w:t>—</w:t>
      </w:r>
      <w:r>
        <w:rPr>
          <w:sz w:val="20"/>
          <w:szCs w:val="20"/>
          <w:color w:val="auto"/>
        </w:rPr>
        <w:tab/>
      </w:r>
      <w:r>
        <w:rPr>
          <w:rFonts w:ascii="Times New Roman" w:cs="Times New Roman" w:eastAsia="Times New Roman" w:hAnsi="Times New Roman"/>
          <w:sz w:val="14"/>
          <w:szCs w:val="14"/>
          <w:color w:val="auto"/>
        </w:rPr>
        <w:t>Form of Consent and Release</w:t>
      </w:r>
    </w:p>
    <w:p>
      <w:pPr>
        <w:spacing w:after="0" w:line="1" w:lineRule="exact"/>
        <w:rPr>
          <w:sz w:val="20"/>
          <w:szCs w:val="20"/>
          <w:color w:val="auto"/>
        </w:rPr>
      </w:pPr>
    </w:p>
    <w:p>
      <w:pPr>
        <w:spacing w:after="0"/>
        <w:tabs>
          <w:tab w:leader="none" w:pos="740" w:val="left"/>
          <w:tab w:leader="none" w:pos="1040" w:val="left"/>
        </w:tabs>
        <w:rPr>
          <w:sz w:val="20"/>
          <w:szCs w:val="20"/>
          <w:color w:val="auto"/>
        </w:rPr>
      </w:pPr>
      <w:r>
        <w:rPr>
          <w:rFonts w:ascii="Times New Roman" w:cs="Times New Roman" w:eastAsia="Times New Roman" w:hAnsi="Times New Roman"/>
          <w:sz w:val="16"/>
          <w:szCs w:val="16"/>
          <w:color w:val="auto"/>
        </w:rPr>
        <w:t>Exhibit E</w:t>
        <w:tab/>
        <w:t>—</w:t>
      </w:r>
      <w:r>
        <w:rPr>
          <w:sz w:val="20"/>
          <w:szCs w:val="20"/>
          <w:color w:val="auto"/>
        </w:rPr>
        <w:tab/>
      </w:r>
      <w:r>
        <w:rPr>
          <w:rFonts w:ascii="Times New Roman" w:cs="Times New Roman" w:eastAsia="Times New Roman" w:hAnsi="Times New Roman"/>
          <w:sz w:val="14"/>
          <w:szCs w:val="14"/>
          <w:color w:val="auto"/>
        </w:rPr>
        <w:t>Form of Release Notice</w:t>
      </w:r>
    </w:p>
    <w:p>
      <w:pPr>
        <w:spacing w:after="0" w:line="7" w:lineRule="exact"/>
        <w:rPr>
          <w:sz w:val="20"/>
          <w:szCs w:val="20"/>
          <w:color w:val="auto"/>
        </w:rPr>
      </w:pPr>
    </w:p>
    <w:p>
      <w:pPr>
        <w:spacing w:after="0"/>
        <w:tabs>
          <w:tab w:leader="none" w:pos="860" w:val="left"/>
          <w:tab w:leader="none" w:pos="1160" w:val="left"/>
        </w:tabs>
        <w:rPr>
          <w:sz w:val="20"/>
          <w:szCs w:val="20"/>
          <w:color w:val="auto"/>
        </w:rPr>
      </w:pPr>
      <w:r>
        <w:rPr>
          <w:rFonts w:ascii="Times New Roman" w:cs="Times New Roman" w:eastAsia="Times New Roman" w:hAnsi="Times New Roman"/>
          <w:sz w:val="16"/>
          <w:szCs w:val="16"/>
          <w:color w:val="auto"/>
        </w:rPr>
        <w:t>Exhibit F-1</w:t>
        <w:tab/>
        <w:t>—</w:t>
      </w:r>
      <w:r>
        <w:rPr>
          <w:sz w:val="20"/>
          <w:szCs w:val="20"/>
          <w:color w:val="auto"/>
        </w:rPr>
        <w:tab/>
      </w:r>
      <w:r>
        <w:rPr>
          <w:rFonts w:ascii="Times New Roman" w:cs="Times New Roman" w:eastAsia="Times New Roman" w:hAnsi="Times New Roman"/>
          <w:sz w:val="14"/>
          <w:szCs w:val="14"/>
          <w:color w:val="auto"/>
        </w:rPr>
        <w:t>Form of U.S. Tax Compliance Certificate</w:t>
      </w:r>
    </w:p>
    <w:p>
      <w:pPr>
        <w:spacing w:after="0" w:line="3" w:lineRule="exact"/>
        <w:rPr>
          <w:sz w:val="20"/>
          <w:szCs w:val="20"/>
          <w:color w:val="auto"/>
        </w:rPr>
      </w:pPr>
    </w:p>
    <w:p>
      <w:pPr>
        <w:spacing w:after="0"/>
        <w:tabs>
          <w:tab w:leader="none" w:pos="860" w:val="left"/>
          <w:tab w:leader="none" w:pos="1160" w:val="left"/>
        </w:tabs>
        <w:rPr>
          <w:sz w:val="20"/>
          <w:szCs w:val="20"/>
          <w:color w:val="auto"/>
        </w:rPr>
      </w:pPr>
      <w:r>
        <w:rPr>
          <w:rFonts w:ascii="Times New Roman" w:cs="Times New Roman" w:eastAsia="Times New Roman" w:hAnsi="Times New Roman"/>
          <w:sz w:val="16"/>
          <w:szCs w:val="16"/>
          <w:color w:val="auto"/>
        </w:rPr>
        <w:t>Exhibit F-2</w:t>
        <w:tab/>
        <w:t>—</w:t>
      </w:r>
      <w:r>
        <w:rPr>
          <w:sz w:val="20"/>
          <w:szCs w:val="20"/>
          <w:color w:val="auto"/>
        </w:rPr>
        <w:tab/>
      </w:r>
      <w:r>
        <w:rPr>
          <w:rFonts w:ascii="Times New Roman" w:cs="Times New Roman" w:eastAsia="Times New Roman" w:hAnsi="Times New Roman"/>
          <w:sz w:val="14"/>
          <w:szCs w:val="14"/>
          <w:color w:val="auto"/>
        </w:rPr>
        <w:t>Form of U.S. Tax Compliance Certificate</w:t>
      </w:r>
    </w:p>
    <w:p>
      <w:pPr>
        <w:spacing w:after="0" w:line="1" w:lineRule="exact"/>
        <w:rPr>
          <w:sz w:val="20"/>
          <w:szCs w:val="20"/>
          <w:color w:val="auto"/>
        </w:rPr>
      </w:pPr>
    </w:p>
    <w:p>
      <w:pPr>
        <w:spacing w:after="0"/>
        <w:tabs>
          <w:tab w:leader="none" w:pos="860" w:val="left"/>
          <w:tab w:leader="none" w:pos="1160" w:val="left"/>
        </w:tabs>
        <w:rPr>
          <w:sz w:val="20"/>
          <w:szCs w:val="20"/>
          <w:color w:val="auto"/>
        </w:rPr>
      </w:pPr>
      <w:r>
        <w:rPr>
          <w:rFonts w:ascii="Times New Roman" w:cs="Times New Roman" w:eastAsia="Times New Roman" w:hAnsi="Times New Roman"/>
          <w:sz w:val="16"/>
          <w:szCs w:val="16"/>
          <w:color w:val="auto"/>
        </w:rPr>
        <w:t>Exhibit F-3</w:t>
        <w:tab/>
        <w:t>—</w:t>
      </w:r>
      <w:r>
        <w:rPr>
          <w:sz w:val="20"/>
          <w:szCs w:val="20"/>
          <w:color w:val="auto"/>
        </w:rPr>
        <w:tab/>
      </w:r>
      <w:r>
        <w:rPr>
          <w:rFonts w:ascii="Times New Roman" w:cs="Times New Roman" w:eastAsia="Times New Roman" w:hAnsi="Times New Roman"/>
          <w:sz w:val="14"/>
          <w:szCs w:val="14"/>
          <w:color w:val="auto"/>
        </w:rPr>
        <w:t>Form of U.S. Tax Compliance Certificate</w:t>
      </w:r>
    </w:p>
    <w:p>
      <w:pPr>
        <w:spacing w:after="0" w:line="3" w:lineRule="exact"/>
        <w:rPr>
          <w:sz w:val="20"/>
          <w:szCs w:val="20"/>
          <w:color w:val="auto"/>
        </w:rPr>
      </w:pPr>
    </w:p>
    <w:p>
      <w:pPr>
        <w:spacing w:after="0"/>
        <w:tabs>
          <w:tab w:leader="none" w:pos="860" w:val="left"/>
          <w:tab w:leader="none" w:pos="1160" w:val="left"/>
        </w:tabs>
        <w:rPr>
          <w:sz w:val="20"/>
          <w:szCs w:val="20"/>
          <w:color w:val="auto"/>
        </w:rPr>
      </w:pPr>
      <w:r>
        <w:rPr>
          <w:rFonts w:ascii="Times New Roman" w:cs="Times New Roman" w:eastAsia="Times New Roman" w:hAnsi="Times New Roman"/>
          <w:sz w:val="16"/>
          <w:szCs w:val="16"/>
          <w:color w:val="auto"/>
        </w:rPr>
        <w:t>Exhibit F-4</w:t>
        <w:tab/>
        <w:t>—</w:t>
      </w:r>
      <w:r>
        <w:rPr>
          <w:sz w:val="20"/>
          <w:szCs w:val="20"/>
          <w:color w:val="auto"/>
        </w:rPr>
        <w:tab/>
      </w:r>
      <w:r>
        <w:rPr>
          <w:rFonts w:ascii="Times New Roman" w:cs="Times New Roman" w:eastAsia="Times New Roman" w:hAnsi="Times New Roman"/>
          <w:sz w:val="14"/>
          <w:szCs w:val="14"/>
          <w:color w:val="auto"/>
        </w:rPr>
        <w:t>Form of U.S. Tax Compliance Certificate</w:t>
      </w:r>
    </w:p>
    <w:p>
      <w:pPr>
        <w:spacing w:after="0" w:line="1" w:lineRule="exact"/>
        <w:rPr>
          <w:sz w:val="20"/>
          <w:szCs w:val="20"/>
          <w:color w:val="auto"/>
        </w:rPr>
      </w:pPr>
    </w:p>
    <w:p>
      <w:pPr>
        <w:spacing w:after="0"/>
        <w:tabs>
          <w:tab w:leader="none" w:pos="740" w:val="left"/>
          <w:tab w:leader="none" w:pos="1060" w:val="left"/>
        </w:tabs>
        <w:rPr>
          <w:sz w:val="20"/>
          <w:szCs w:val="20"/>
          <w:color w:val="auto"/>
        </w:rPr>
      </w:pPr>
      <w:r>
        <w:rPr>
          <w:rFonts w:ascii="Times New Roman" w:cs="Times New Roman" w:eastAsia="Times New Roman" w:hAnsi="Times New Roman"/>
          <w:sz w:val="16"/>
          <w:szCs w:val="16"/>
          <w:color w:val="auto"/>
        </w:rPr>
        <w:t>Exhibit G</w:t>
        <w:tab/>
        <w:t>—</w:t>
      </w:r>
      <w:r>
        <w:rPr>
          <w:sz w:val="20"/>
          <w:szCs w:val="20"/>
          <w:color w:val="auto"/>
        </w:rPr>
        <w:tab/>
      </w:r>
      <w:r>
        <w:rPr>
          <w:rFonts w:ascii="Times New Roman" w:cs="Times New Roman" w:eastAsia="Times New Roman" w:hAnsi="Times New Roman"/>
          <w:sz w:val="14"/>
          <w:szCs w:val="14"/>
          <w:color w:val="auto"/>
        </w:rPr>
        <w:t>Credit Policy</w:t>
      </w:r>
    </w:p>
    <w:p>
      <w:pPr>
        <w:spacing w:after="0" w:line="3" w:lineRule="exact"/>
        <w:rPr>
          <w:sz w:val="20"/>
          <w:szCs w:val="20"/>
          <w:color w:val="auto"/>
        </w:rPr>
      </w:pPr>
    </w:p>
    <w:p>
      <w:pPr>
        <w:spacing w:after="0"/>
        <w:tabs>
          <w:tab w:leader="none" w:pos="740" w:val="left"/>
          <w:tab w:leader="none" w:pos="1060" w:val="left"/>
        </w:tabs>
        <w:rPr>
          <w:sz w:val="20"/>
          <w:szCs w:val="20"/>
          <w:color w:val="auto"/>
        </w:rPr>
      </w:pPr>
      <w:r>
        <w:rPr>
          <w:rFonts w:ascii="Times New Roman" w:cs="Times New Roman" w:eastAsia="Times New Roman" w:hAnsi="Times New Roman"/>
          <w:sz w:val="16"/>
          <w:szCs w:val="16"/>
          <w:color w:val="auto"/>
        </w:rPr>
        <w:t>Exhibit H</w:t>
        <w:tab/>
        <w:t>—</w:t>
      </w:r>
      <w:r>
        <w:rPr>
          <w:sz w:val="20"/>
          <w:szCs w:val="20"/>
          <w:color w:val="auto"/>
        </w:rPr>
        <w:tab/>
      </w:r>
      <w:r>
        <w:rPr>
          <w:rFonts w:ascii="Times New Roman" w:cs="Times New Roman" w:eastAsia="Times New Roman" w:hAnsi="Times New Roman"/>
          <w:sz w:val="14"/>
          <w:szCs w:val="14"/>
          <w:color w:val="auto"/>
        </w:rPr>
        <w:t>Collection Policy</w:t>
      </w:r>
    </w:p>
    <w:p>
      <w:pPr>
        <w:spacing w:after="0" w:line="1" w:lineRule="exact"/>
        <w:rPr>
          <w:sz w:val="20"/>
          <w:szCs w:val="20"/>
          <w:color w:val="auto"/>
        </w:rPr>
      </w:pPr>
    </w:p>
    <w:p>
      <w:pPr>
        <w:spacing w:after="0"/>
        <w:tabs>
          <w:tab w:leader="none" w:pos="680" w:val="left"/>
          <w:tab w:leader="none" w:pos="1000" w:val="left"/>
        </w:tabs>
        <w:rPr>
          <w:sz w:val="20"/>
          <w:szCs w:val="20"/>
          <w:color w:val="auto"/>
        </w:rPr>
      </w:pPr>
      <w:r>
        <w:rPr>
          <w:rFonts w:ascii="Times New Roman" w:cs="Times New Roman" w:eastAsia="Times New Roman" w:hAnsi="Times New Roman"/>
          <w:sz w:val="16"/>
          <w:szCs w:val="16"/>
          <w:color w:val="auto"/>
        </w:rPr>
        <w:t>Exhibit I</w:t>
        <w:tab/>
        <w:t>—</w:t>
      </w:r>
      <w:r>
        <w:rPr>
          <w:sz w:val="20"/>
          <w:szCs w:val="20"/>
          <w:color w:val="auto"/>
        </w:rPr>
        <w:tab/>
      </w:r>
      <w:r>
        <w:rPr>
          <w:rFonts w:ascii="Times New Roman" w:cs="Times New Roman" w:eastAsia="Times New Roman" w:hAnsi="Times New Roman"/>
          <w:sz w:val="14"/>
          <w:szCs w:val="14"/>
          <w:color w:val="auto"/>
        </w:rPr>
        <w:t>Form of Compliance Certificate</w:t>
      </w:r>
    </w:p>
    <w:p>
      <w:pPr>
        <w:sectPr>
          <w:pgSz w:w="11900" w:h="16838" w:orient="portrait"/>
          <w:cols w:equalWidth="0" w:num="1">
            <w:col w:w="10159"/>
          </w:cols>
          <w:pgMar w:left="300" w:top="1328" w:right="1440"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6"/>
          <w:szCs w:val="16"/>
          <w:color w:val="auto"/>
        </w:rPr>
        <w:t>REVOLVING CREDIT AND SECURITY AGREEMENT</w:t>
      </w:r>
    </w:p>
    <w:p>
      <w:pPr>
        <w:spacing w:after="0" w:line="1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 xml:space="preserve">ARTICLE 1. </w:t>
      </w:r>
      <w:r>
        <w:rPr>
          <w:rFonts w:ascii="Times New Roman" w:cs="Times New Roman" w:eastAsia="Times New Roman" w:hAnsi="Times New Roman"/>
          <w:sz w:val="15"/>
          <w:szCs w:val="15"/>
          <w:color w:val="auto"/>
        </w:rPr>
        <w:t>REVOLVING CREDIT AND SECURITY AGREEMENT, dated as of November 18, 2022, among LIQUID LABS SPV, LLC, a Delaware limited liability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company, as borrower (together with its permitted successors and assigns, the “</w:t>
      </w:r>
      <w:r>
        <w:rPr>
          <w:rFonts w:ascii="Times New Roman" w:cs="Times New Roman" w:eastAsia="Times New Roman" w:hAnsi="Times New Roman"/>
          <w:sz w:val="15"/>
          <w:szCs w:val="15"/>
          <w:i w:val="1"/>
          <w:iCs w:val="1"/>
          <w:color w:val="auto"/>
        </w:rPr>
        <w:t>Borrower</w:t>
      </w:r>
      <w:r>
        <w:rPr>
          <w:rFonts w:ascii="Times New Roman" w:cs="Times New Roman" w:eastAsia="Times New Roman" w:hAnsi="Times New Roman"/>
          <w:sz w:val="15"/>
          <w:szCs w:val="15"/>
          <w:color w:val="auto"/>
        </w:rPr>
        <w:t>”), the LENDERS from time to time party hereto, and GOLDMAN SACHS BANK USA (“</w:t>
      </w:r>
      <w:r>
        <w:rPr>
          <w:rFonts w:ascii="Times New Roman" w:cs="Times New Roman" w:eastAsia="Times New Roman" w:hAnsi="Times New Roman"/>
          <w:sz w:val="15"/>
          <w:szCs w:val="15"/>
          <w:i w:val="1"/>
          <w:iCs w:val="1"/>
          <w:color w:val="auto"/>
        </w:rPr>
        <w:t>GS Bank</w:t>
      </w:r>
      <w:r>
        <w:rPr>
          <w:rFonts w:ascii="Times New Roman" w:cs="Times New Roman" w:eastAsia="Times New Roman" w:hAnsi="Times New Roman"/>
          <w:sz w:val="15"/>
          <w:szCs w:val="15"/>
          <w:color w:val="auto"/>
        </w:rPr>
        <w:t>”), as administrative agent for the Secured Parties (as hereinafter defined) (in such capacity, together with its successors and assigns, the “</w:t>
      </w:r>
      <w:r>
        <w:rPr>
          <w:rFonts w:ascii="Times New Roman" w:cs="Times New Roman" w:eastAsia="Times New Roman" w:hAnsi="Times New Roman"/>
          <w:sz w:val="15"/>
          <w:szCs w:val="15"/>
          <w:i w:val="1"/>
          <w:iCs w:val="1"/>
          <w:color w:val="auto"/>
        </w:rPr>
        <w:t>Administrative Agent</w:t>
      </w:r>
      <w:r>
        <w:rPr>
          <w:rFonts w:ascii="Times New Roman" w:cs="Times New Roman" w:eastAsia="Times New Roman" w:hAnsi="Times New Roman"/>
          <w:sz w:val="15"/>
          <w:szCs w:val="15"/>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8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 </w:t>
      </w:r>
      <w:r>
        <w:rPr>
          <w:rFonts w:ascii="Times New Roman" w:cs="Times New Roman" w:eastAsia="Times New Roman" w:hAnsi="Times New Roman"/>
          <w:sz w:val="15"/>
          <w:szCs w:val="15"/>
          <w:color w:val="auto"/>
        </w:rPr>
        <w:t>WHEREAS, the Borrower desires that the Lenders make advances on a revolving basis to the Borrower on the terms and subject to the conditions set forth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 this Agreement; and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3.  </w:t>
      </w:r>
      <w:r>
        <w:rPr>
          <w:rFonts w:ascii="Times New Roman" w:cs="Times New Roman" w:eastAsia="Times New Roman" w:hAnsi="Times New Roman"/>
          <w:sz w:val="15"/>
          <w:szCs w:val="15"/>
          <w:color w:val="auto"/>
        </w:rPr>
        <w:t>WHEREAS, each Lender may make such advances to the Borrower on the terms and subject to the conditions set forth in this Agreement.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4.  </w:t>
      </w:r>
      <w:r>
        <w:rPr>
          <w:rFonts w:ascii="Times New Roman" w:cs="Times New Roman" w:eastAsia="Times New Roman" w:hAnsi="Times New Roman"/>
          <w:sz w:val="15"/>
          <w:szCs w:val="15"/>
          <w:color w:val="auto"/>
        </w:rPr>
        <w:t>NOW, THEREFORE, in consideration of the premises and of the mutual covenants herein contained, the parties hereto agree as follows:</w:t>
      </w:r>
    </w:p>
    <w:p>
      <w:pPr>
        <w:spacing w:after="0" w:line="1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13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DEFINITIONS; RULES OF CONSTRUCTION; COMPUTATIONS</w:t>
      </w:r>
    </w:p>
    <w:p>
      <w:pPr>
        <w:spacing w:after="0" w:line="134" w:lineRule="exact"/>
        <w:rPr>
          <w:sz w:val="20"/>
          <w:szCs w:val="20"/>
          <w:color w:val="auto"/>
        </w:rPr>
      </w:pPr>
    </w:p>
    <w:p>
      <w:pPr>
        <w:ind w:left="520"/>
        <w:spacing w:after="0"/>
        <w:tabs>
          <w:tab w:leader="none" w:pos="1500" w:val="left"/>
        </w:tabs>
        <w:rPr>
          <w:sz w:val="20"/>
          <w:szCs w:val="20"/>
          <w:color w:val="auto"/>
        </w:rPr>
      </w:pPr>
      <w:r>
        <w:rPr>
          <w:rFonts w:ascii="Times New Roman" w:cs="Times New Roman" w:eastAsia="Times New Roman" w:hAnsi="Times New Roman"/>
          <w:sz w:val="16"/>
          <w:szCs w:val="16"/>
          <w:i w:val="1"/>
          <w:iCs w:val="1"/>
          <w:color w:val="auto"/>
        </w:rPr>
        <w:t>Section 1.01</w:t>
      </w:r>
      <w:r>
        <w:rPr>
          <w:sz w:val="20"/>
          <w:szCs w:val="20"/>
          <w:color w:val="auto"/>
        </w:rPr>
        <w:tab/>
      </w:r>
      <w:r>
        <w:rPr>
          <w:rFonts w:ascii="Times New Roman" w:cs="Times New Roman" w:eastAsia="Times New Roman" w:hAnsi="Times New Roman"/>
          <w:sz w:val="14"/>
          <w:szCs w:val="14"/>
          <w:i w:val="1"/>
          <w:iCs w:val="1"/>
          <w:color w:val="auto"/>
        </w:rPr>
        <w:t>Definitions. As used in this Agreement, the following terms shall have the meanings indicated:</w:t>
      </w:r>
    </w:p>
    <w:p>
      <w:pPr>
        <w:spacing w:after="0" w:line="16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8-30-day Delinquent Receivable</w:t>
      </w:r>
      <w:r>
        <w:rPr>
          <w:rFonts w:ascii="Times New Roman" w:cs="Times New Roman" w:eastAsia="Times New Roman" w:hAnsi="Times New Roman"/>
          <w:sz w:val="15"/>
          <w:szCs w:val="15"/>
          <w:color w:val="auto"/>
        </w:rPr>
        <w:t>” means, as of any date of determination, any Receivable, other than a Defaulted Receivable, as to which all or any portion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a scheduled payment is eight (8) or more days but no more than thirty (30) days past the scheduled Due Date for such payment as of such date of determination.</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30-day Delinquent Receivable</w:t>
      </w:r>
      <w:r>
        <w:rPr>
          <w:rFonts w:ascii="Times New Roman" w:cs="Times New Roman" w:eastAsia="Times New Roman" w:hAnsi="Times New Roman"/>
          <w:sz w:val="15"/>
          <w:szCs w:val="15"/>
          <w:color w:val="auto"/>
        </w:rPr>
        <w:t>” means, as of any date of determination, any Receivable, other than a Defaulted Receivable, as to which all or any portion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 scheduled payment is more than thirty (30) days past the scheduled Due Date for such payment as of such date of determination.</w:t>
      </w:r>
    </w:p>
    <w:p>
      <w:pPr>
        <w:spacing w:after="0" w:line="11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90-day Delinquent Receivable</w:t>
      </w:r>
      <w:r>
        <w:rPr>
          <w:rFonts w:ascii="Times New Roman" w:cs="Times New Roman" w:eastAsia="Times New Roman" w:hAnsi="Times New Roman"/>
          <w:sz w:val="15"/>
          <w:szCs w:val="15"/>
          <w:color w:val="auto"/>
        </w:rPr>
        <w:t>” means, as of any date of determination, any Receivable (other than a Defaulted Receivable of the type described in any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clauses (ii) through (v) of the definition thereof), as to which all or any portion of a scheduled payment is more than ninety (90) days past the scheduled Due Date for such payment as of such date of determination.</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Accelerated Amortization Event</w:t>
      </w:r>
      <w:r>
        <w:rPr>
          <w:rFonts w:ascii="Times New Roman" w:cs="Times New Roman" w:eastAsia="Times New Roman" w:hAnsi="Times New Roman"/>
          <w:sz w:val="15"/>
          <w:szCs w:val="15"/>
          <w:color w:val="auto"/>
        </w:rPr>
        <w:t>” means, as of any date of determination, the occurrence of any of the following:</w:t>
      </w:r>
    </w:p>
    <w:p>
      <w:pPr>
        <w:spacing w:after="0" w:line="165" w:lineRule="exact"/>
        <w:rPr>
          <w:sz w:val="20"/>
          <w:szCs w:val="20"/>
          <w:color w:val="auto"/>
        </w:rPr>
      </w:pPr>
    </w:p>
    <w:p>
      <w:pPr>
        <w:ind w:left="1520" w:hanging="497"/>
        <w:spacing w:after="0"/>
        <w:tabs>
          <w:tab w:leader="none" w:pos="1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Event of Default;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such Event of Default is waived, the related Accelerated Amortization Event shall cease to exist;</w:t>
      </w:r>
    </w:p>
    <w:p>
      <w:pPr>
        <w:sectPr>
          <w:pgSz w:w="11900" w:h="16838" w:orient="portrait"/>
          <w:cols w:equalWidth="0" w:num="1">
            <w:col w:w="11280"/>
          </w:cols>
          <w:pgMar w:left="300" w:top="1139" w:right="319" w:bottom="1440" w:gutter="0" w:footer="0" w:header="0"/>
        </w:sectPr>
      </w:pPr>
    </w:p>
    <w:bookmarkStart w:id="204" w:name="page205"/>
    <w:bookmarkEnd w:id="204"/>
    <w:p>
      <w:pPr>
        <w:jc w:val="both"/>
        <w:ind w:left="520" w:firstLine="503"/>
        <w:spacing w:after="0" w:line="221" w:lineRule="auto"/>
        <w:tabs>
          <w:tab w:leader="none" w:pos="152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 Insolvency Event with respect to an Originator or, if a Program Provider Agreement has not been terminated and remains in effect, the related Program Provider, and (ii) the Borrower fails to appoint a replacement Originator or Program Provider, as applicable, acceptable to the Administrative Agent within forty-five calendar (45) days following the date thereof;</w:t>
      </w:r>
    </w:p>
    <w:p>
      <w:pPr>
        <w:spacing w:after="0" w:line="128"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3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first date upon which the Backup Servicing Agreement is in effect, (i) either (A) any event that constitutes a Backup Servicer Event of Default shall have occurred and shall not have been waived by the Borrower with the written consent of the Administrative Agent (acting at the direction of the Required Lenders) or (B) the Backup Servicing Agreement ceases for any reason to be in full force or effect or is otherwise terminated and (ii) the Borrower fails to appoint a replacement Backup Servicer acceptable to the Administrative Agent within sixty (60) days following the date thereof;</w:t>
      </w:r>
    </w:p>
    <w:p>
      <w:pPr>
        <w:spacing w:after="0" w:line="12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Level II Trigger Event;</w:t>
      </w:r>
    </w:p>
    <w:p>
      <w:pPr>
        <w:spacing w:after="0" w:line="13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Unrestricted Cash of Navan shall be less than an amount equal to the sum of the Average Monthly Burn for the preceding six (6) calendar months;</w:t>
      </w:r>
    </w:p>
    <w:p>
      <w:pPr>
        <w:spacing w:after="0" w:line="14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Regulatory Event; or</w:t>
      </w:r>
    </w:p>
    <w:p>
      <w:pPr>
        <w:spacing w:after="0" w:line="144" w:lineRule="exact"/>
        <w:rPr>
          <w:rFonts w:ascii="Times New Roman" w:cs="Times New Roman" w:eastAsia="Times New Roman" w:hAnsi="Times New Roman"/>
          <w:sz w:val="16"/>
          <w:szCs w:val="16"/>
          <w:color w:val="auto"/>
        </w:rPr>
      </w:pPr>
    </w:p>
    <w:p>
      <w:pPr>
        <w:jc w:val="both"/>
        <w:ind w:left="520" w:firstLine="503"/>
        <w:spacing w:after="0" w:line="221" w:lineRule="auto"/>
        <w:tabs>
          <w:tab w:leader="none" w:pos="152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date that is three (3) months prior to the maturity date of the Designated Citi ABL Funded Indebtedness, as applicable, the failure of Navan to (x) extend the maturity date of such applicable Funded Indebtedness to a date following the Final Maturity Date, (y) convert such applicable Funded Indebtedness or (z) refinance such applicable Funded Indebtedness in a structure that is acceptable to the Administrative Agent in its sole discretion.</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Account Banks</w:t>
      </w:r>
      <w:r>
        <w:rPr>
          <w:rFonts w:ascii="Times New Roman" w:cs="Times New Roman" w:eastAsia="Times New Roman" w:hAnsi="Times New Roman"/>
          <w:sz w:val="15"/>
          <w:szCs w:val="15"/>
          <w:color w:val="auto"/>
        </w:rPr>
        <w:t>” means the Dollar Account Bank and the English Account Bank.</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Additional Account</w:t>
      </w:r>
      <w:r>
        <w:rPr>
          <w:rFonts w:ascii="Times New Roman" w:cs="Times New Roman" w:eastAsia="Times New Roman" w:hAnsi="Times New Roman"/>
          <w:sz w:val="15"/>
          <w:szCs w:val="15"/>
          <w:color w:val="auto"/>
        </w:rPr>
        <w:t>” means any Eligible Card Account designated by the Seller to be included on the Schedule of Accounts pursuant to, and in accordance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with, the terms and conditions set forth in the Receivables Purchase Agreement.</w:t>
      </w:r>
    </w:p>
    <w:p>
      <w:pPr>
        <w:spacing w:after="0" w:line="11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Adjusted 8-30 Eligible Receivable Balance</w:t>
      </w:r>
      <w:r>
        <w:rPr>
          <w:rFonts w:ascii="Times New Roman" w:cs="Times New Roman" w:eastAsia="Times New Roman" w:hAnsi="Times New Roman"/>
          <w:sz w:val="15"/>
          <w:szCs w:val="15"/>
          <w:color w:val="auto"/>
        </w:rPr>
        <w:t>” means, as of any date of determination, the Dollar Equivalent of the aggregate Receivable Balances of 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Eligible Receivables that are 8-30-day Delinquent Receivables on such date, in an amount not to exceed the product of 5.0% and the Dollar Equivalent of the Aggregate Eligible Receivable Balance on such date.</w:t>
      </w:r>
    </w:p>
    <w:p>
      <w:pPr>
        <w:spacing w:after="0" w:line="130"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Adjusted Benchmark Rate</w:t>
      </w:r>
      <w:r>
        <w:rPr>
          <w:rFonts w:ascii="Times New Roman" w:cs="Times New Roman" w:eastAsia="Times New Roman" w:hAnsi="Times New Roman"/>
          <w:sz w:val="15"/>
          <w:szCs w:val="15"/>
          <w:color w:val="auto"/>
        </w:rPr>
        <w:t>” means, for any Interest Accrual Period, an interest rate per annum equal to a fraction, expressed as a percentage, (a)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numerator of which is equal to the Benchmark for such Interest Accrual Period and (b) the denominator of which is equal to 100%.</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Administrative Agent</w:t>
      </w:r>
      <w:r>
        <w:rPr>
          <w:rFonts w:ascii="Times New Roman" w:cs="Times New Roman" w:eastAsia="Times New Roman" w:hAnsi="Times New Roman"/>
          <w:sz w:val="15"/>
          <w:szCs w:val="15"/>
          <w:color w:val="auto"/>
        </w:rPr>
        <w:t>” has the meaning specified in the introduction to this Agreement.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Advance</w:t>
      </w:r>
      <w:r>
        <w:rPr>
          <w:rFonts w:ascii="Times New Roman" w:cs="Times New Roman" w:eastAsia="Times New Roman" w:hAnsi="Times New Roman"/>
          <w:sz w:val="15"/>
          <w:szCs w:val="15"/>
          <w:color w:val="auto"/>
        </w:rPr>
        <w:t>” has the meaning specified in Section 2.01.</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Affected Financial Institution</w:t>
      </w:r>
      <w:r>
        <w:rPr>
          <w:rFonts w:ascii="Times New Roman" w:cs="Times New Roman" w:eastAsia="Times New Roman" w:hAnsi="Times New Roman"/>
          <w:sz w:val="15"/>
          <w:szCs w:val="15"/>
          <w:color w:val="auto"/>
        </w:rPr>
        <w:t>” means (a) any EEA Financial Institution or (b) any UK Financial Institution.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Affected Person</w:t>
      </w:r>
      <w:r>
        <w:rPr>
          <w:rFonts w:ascii="Times New Roman" w:cs="Times New Roman" w:eastAsia="Times New Roman" w:hAnsi="Times New Roman"/>
          <w:sz w:val="15"/>
          <w:szCs w:val="15"/>
          <w:color w:val="auto"/>
        </w:rPr>
        <w:t>” means (a) each Lender and each of its Affiliates, and (b) any assignee or participant of any Lender.</w:t>
      </w:r>
    </w:p>
    <w:p>
      <w:pPr>
        <w:sectPr>
          <w:pgSz w:w="11900" w:h="16838" w:orient="portrait"/>
          <w:cols w:equalWidth="0" w:num="1">
            <w:col w:w="11280"/>
          </w:cols>
          <w:pgMar w:left="300" w:top="1128" w:right="319" w:bottom="1440" w:gutter="0" w:footer="0" w:header="0"/>
        </w:sectPr>
      </w:pPr>
    </w:p>
    <w:bookmarkStart w:id="205" w:name="page206"/>
    <w:bookmarkEnd w:id="205"/>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Affiliate</w:t>
      </w:r>
      <w:r>
        <w:rPr>
          <w:rFonts w:ascii="Times New Roman" w:cs="Times New Roman" w:eastAsia="Times New Roman" w:hAnsi="Times New Roman"/>
          <w:sz w:val="15"/>
          <w:szCs w:val="15"/>
          <w:color w:val="auto"/>
        </w:rPr>
        <w:t>” means, in respect of a referenced Person, another Person Controlling, Controlled by or under common Control with such referenced Person,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provided that no Person that owns Equity Interests in Navan shall be deemed an Affiliate of Navan or any of its Subsidiaries for purposes of any Facility Document solely as a result of such Person’s ownership of such Equity Interests.</w:t>
      </w:r>
    </w:p>
    <w:p>
      <w:pPr>
        <w:spacing w:after="0" w:line="145"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Aggregate Eligible Receivable Balance</w:t>
      </w:r>
      <w:r>
        <w:rPr>
          <w:rFonts w:ascii="Times New Roman" w:cs="Times New Roman" w:eastAsia="Times New Roman" w:hAnsi="Times New Roman"/>
          <w:sz w:val="15"/>
          <w:szCs w:val="15"/>
          <w:color w:val="auto"/>
        </w:rPr>
        <w:t>” means, as of any date of determination, the aggregate Receivable Balances of all Eligible Receivables owned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Borrower on such date.</w:t>
      </w:r>
    </w:p>
    <w:p>
      <w:pPr>
        <w:spacing w:after="0" w:line="13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16. </w:t>
      </w:r>
      <w:r>
        <w:rPr>
          <w:rFonts w:ascii="Times New Roman" w:cs="Times New Roman" w:eastAsia="Times New Roman" w:hAnsi="Times New Roman"/>
          <w:sz w:val="15"/>
          <w:szCs w:val="15"/>
          <w:i w:val="1"/>
          <w:iCs w:val="1"/>
          <w:color w:val="auto"/>
        </w:rPr>
        <w:t>“Aggregate Loan Principal Balance”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means, as of any date of determination, the sum of the Class A Aggregate Loan Principal Balance as of such date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Class B Aggregate Loan Principal Balance as of such date.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Agreement</w:t>
      </w:r>
      <w:r>
        <w:rPr>
          <w:rFonts w:ascii="Times New Roman" w:cs="Times New Roman" w:eastAsia="Times New Roman" w:hAnsi="Times New Roman"/>
          <w:sz w:val="15"/>
          <w:szCs w:val="15"/>
          <w:color w:val="auto"/>
        </w:rPr>
        <w:t>” means this Revolving Credit and Security Agreement.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Amendment No. 8 Effective Date</w:t>
      </w:r>
      <w:r>
        <w:rPr>
          <w:rFonts w:ascii="Times New Roman" w:cs="Times New Roman" w:eastAsia="Times New Roman" w:hAnsi="Times New Roman"/>
          <w:sz w:val="15"/>
          <w:szCs w:val="15"/>
          <w:color w:val="auto"/>
        </w:rPr>
        <w:t>” means February 24,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Amendment No. 9 Effective Date</w:t>
      </w:r>
      <w:r>
        <w:rPr>
          <w:rFonts w:ascii="Times New Roman" w:cs="Times New Roman" w:eastAsia="Times New Roman" w:hAnsi="Times New Roman"/>
          <w:sz w:val="15"/>
          <w:szCs w:val="15"/>
          <w:color w:val="auto"/>
        </w:rPr>
        <w:t>” means March 6, 2025.</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Amendment No. 12 Effective Date</w:t>
      </w:r>
      <w:r>
        <w:rPr>
          <w:rFonts w:ascii="Times New Roman" w:cs="Times New Roman" w:eastAsia="Times New Roman" w:hAnsi="Times New Roman"/>
          <w:sz w:val="15"/>
          <w:szCs w:val="15"/>
          <w:color w:val="auto"/>
        </w:rPr>
        <w:t>” means November 17, 2025.</w:t>
      </w:r>
    </w:p>
    <w:p>
      <w:pPr>
        <w:spacing w:after="0" w:line="18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21.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Applicable Exchange Rate</w:t>
      </w:r>
      <w:r>
        <w:rPr>
          <w:rFonts w:ascii="Times New Roman" w:cs="Times New Roman" w:eastAsia="Times New Roman" w:hAnsi="Times New Roman"/>
          <w:sz w:val="15"/>
          <w:szCs w:val="15"/>
          <w:color w:val="auto"/>
        </w:rPr>
        <w:t>” means, at any time in relation to any amount denominated in a Currency other than Dollars, either: (x) if such Applicable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Exchange Rate being used for purposes of a calculation hereunder but such Currency has not actually been converted to Dollars, the Reported Spot Rate, as determined by the Administrative Agent or (y) if such Applicable Exchange Rate is being used for purposes of determining the actual exchange of the relevant Currency to Dollars, the rate at which such amount of such Currency was actually converted into Dollars pursuant to a spot foreign exchange contract (or other similar agreement) in the currency exchange market for such Currency.</w:t>
      </w:r>
    </w:p>
    <w:p>
      <w:pPr>
        <w:spacing w:after="0" w:line="34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7"/>
          <w:szCs w:val="17"/>
          <w:color w:val="auto"/>
        </w:rPr>
        <w:t xml:space="preserve">ARTICLE 22.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Applicable Law</w:t>
      </w:r>
      <w:r>
        <w:rPr>
          <w:rFonts w:ascii="Times New Roman" w:cs="Times New Roman" w:eastAsia="Times New Roman" w:hAnsi="Times New Roman"/>
          <w:sz w:val="15"/>
          <w:szCs w:val="15"/>
          <w:color w:val="auto"/>
        </w:rPr>
        <w:t>” means any Law of any Governmental Authority, including all federal, state and local laws and of other local regulatory authorities,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which the Person in question is subject or by which it or any of its assets or properties are bound, including, all federal, state and local laws in respect of the business of extending credit to borrowers, including (a) the Federal Truth-in-Lending Act (and Regulation Z of the Consumer Financial Protection Bureau) (but only to the extent applicable to the commercial credit cards); (b) the Equal Credit Opportunity Act and Regulation B of the Consumer Financial Protection Bureau; (c) the Federal Trade Commission Act; (d) all applicable state and federal securities laws; (e) all applicable usury laws (including any related fee or disclosure requirements); (f) the Federal Deposit Insurance Act and Federal Deposit Insurance Corporation regulations; (g) Privacy and Data Security Requirements; (h) Expedited Funds Availability Act and Regulation CC; (i) the Electronic Signatures in Global and National Commerce Act and any other applicable laws relating to the electronic execution of documents and instruments; (j) the Electronic Funds Transfer Act; (k) anti-money laundering and Bank Secrecy Act laws; (l) Sanctions Laws; (m) the Fair and Accurate Credit Transactions Act; (n) the California Consumer Privacy Act; (o) PCI-DSS; (p) Network Rules; (q) National Automated Clearing House Association rules; (r) Americans With Disabilities Act; and (s) other anti-discrimination and fair credit laws, laws relating to servicing procedures or maximum charges and rates of interest, privacy laws and other similar laws, each to the extent applicable, and all applicable rules and regulations in respect of any of the foregoing.</w:t>
      </w:r>
    </w:p>
    <w:p>
      <w:pPr>
        <w:sectPr>
          <w:pgSz w:w="11900" w:h="16838" w:orient="portrait"/>
          <w:cols w:equalWidth="0" w:num="1">
            <w:col w:w="11280"/>
          </w:cols>
          <w:pgMar w:left="300" w:top="1148" w:right="319" w:bottom="1440" w:gutter="0" w:footer="0" w:header="0"/>
        </w:sectPr>
      </w:pPr>
    </w:p>
    <w:bookmarkStart w:id="206" w:name="page207"/>
    <w:bookmarkEnd w:id="206"/>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Approved Fund</w:t>
      </w:r>
      <w:r>
        <w:rPr>
          <w:rFonts w:ascii="Times New Roman" w:cs="Times New Roman" w:eastAsia="Times New Roman" w:hAnsi="Times New Roman"/>
          <w:sz w:val="15"/>
          <w:szCs w:val="15"/>
          <w:color w:val="auto"/>
        </w:rPr>
        <w:t>” means any Fund that is administered or managed by (a) a Lender, (b) an Affiliate of a Lender or (c) an entity or an Affiliate of an entity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that administers or manages a Lender.</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24.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Assigning Lender</w:t>
      </w:r>
      <w:r>
        <w:rPr>
          <w:rFonts w:ascii="Times New Roman" w:cs="Times New Roman" w:eastAsia="Times New Roman" w:hAnsi="Times New Roman"/>
          <w:sz w:val="15"/>
          <w:szCs w:val="15"/>
          <w:color w:val="auto"/>
        </w:rPr>
        <w:t>” has the meaning specified in Section 13.02(a).</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Assignment and Acceptance</w:t>
      </w:r>
      <w:r>
        <w:rPr>
          <w:rFonts w:ascii="Times New Roman" w:cs="Times New Roman" w:eastAsia="Times New Roman" w:hAnsi="Times New Roman"/>
          <w:sz w:val="15"/>
          <w:szCs w:val="15"/>
          <w:color w:val="auto"/>
        </w:rPr>
        <w:t>” means an Assignment and Acceptance in substantially the form of Exhibit C hereto, entered into by a Lender, an assignee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Administrative Agent and, if applicable, the Borrower.</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Automatic Designation End Date</w:t>
      </w:r>
      <w:r>
        <w:rPr>
          <w:rFonts w:ascii="Times New Roman" w:cs="Times New Roman" w:eastAsia="Times New Roman" w:hAnsi="Times New Roman"/>
          <w:sz w:val="15"/>
          <w:szCs w:val="15"/>
          <w:color w:val="auto"/>
        </w:rPr>
        <w:t>” means the first date that occurs that is (x) after the first date on which the Receivables and Cash Flow Tracking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Condition is satisfied and (y) the earlier of (i) the last day of the Reinvestment Period, and (ii) the first date after the Closing Date (the “</w:t>
      </w:r>
      <w:r>
        <w:rPr>
          <w:rFonts w:ascii="Times New Roman" w:cs="Times New Roman" w:eastAsia="Times New Roman" w:hAnsi="Times New Roman"/>
          <w:sz w:val="15"/>
          <w:szCs w:val="15"/>
          <w:i w:val="1"/>
          <w:iCs w:val="1"/>
          <w:color w:val="auto"/>
        </w:rPr>
        <w:t>First End Date</w:t>
      </w:r>
      <w:r>
        <w:rPr>
          <w:rFonts w:ascii="Times New Roman" w:cs="Times New Roman" w:eastAsia="Times New Roman" w:hAnsi="Times New Roman"/>
          <w:sz w:val="15"/>
          <w:szCs w:val="15"/>
          <w:color w:val="auto"/>
        </w:rPr>
        <w:t>”) on which the sum of (A) the aggregate outstanding principal balance of the Class B Advances and (B) the aggregate outstanding principal balance of all Other Facility Class B Advances (the amounts in (A) and (B), collectively, the “</w:t>
      </w:r>
      <w:r>
        <w:rPr>
          <w:rFonts w:ascii="Times New Roman" w:cs="Times New Roman" w:eastAsia="Times New Roman" w:hAnsi="Times New Roman"/>
          <w:sz w:val="15"/>
          <w:szCs w:val="15"/>
          <w:i w:val="1"/>
          <w:iCs w:val="1"/>
          <w:color w:val="auto"/>
        </w:rPr>
        <w:t>Combined Class B Advance Amount</w:t>
      </w:r>
      <w:r>
        <w:rPr>
          <w:rFonts w:ascii="Times New Roman" w:cs="Times New Roman" w:eastAsia="Times New Roman" w:hAnsi="Times New Roman"/>
          <w:sz w:val="15"/>
          <w:szCs w:val="15"/>
          <w:color w:val="auto"/>
        </w:rPr>
        <w:t xml:space="preserve">”) is equal to or exceeds $[***],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with respect to this clause (ii), if from time to time after the First End Date the Combined Class B Advance Amount is less than $[***], then the Automatic Designation End Date (x) shall be deemed not to have occurred during any such period beginning on the first date on which the Combined Class B Advance Amount is less than $[***] and (y) shall be deemed to have occurred again during any period beginning on the first date on which the Combined Class B Advance Amount is again equal to or in excess of $[***].</w:t>
      </w:r>
    </w:p>
    <w:p>
      <w:pPr>
        <w:spacing w:after="0" w:line="14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Automatically Designated Account</w:t>
      </w:r>
      <w:r>
        <w:rPr>
          <w:rFonts w:ascii="Times New Roman" w:cs="Times New Roman" w:eastAsia="Times New Roman" w:hAnsi="Times New Roman"/>
          <w:sz w:val="15"/>
          <w:szCs w:val="15"/>
          <w:color w:val="auto"/>
        </w:rPr>
        <w:t>” means each Eligible Card Account (in each case, other than an Excluded Eligible Card Account) in existence 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Closing Date or coming into existence on or after the Closing Date and prior to the Automatic Designation End Date.</w:t>
      </w:r>
    </w:p>
    <w:p>
      <w:pPr>
        <w:spacing w:after="0" w:line="11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ARTICLE 28.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Available Tenor</w:t>
      </w:r>
      <w:r>
        <w:rPr>
          <w:rFonts w:ascii="Times New Roman" w:cs="Times New Roman" w:eastAsia="Times New Roman" w:hAnsi="Times New Roman"/>
          <w:sz w:val="15"/>
          <w:szCs w:val="15"/>
          <w:color w:val="auto"/>
        </w:rPr>
        <w:t>” means, as of any date of determination and with respect to the then-current Benchmark, as applicable, any tenor for such Benchmark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payment period for interest calculated with reference to such Benchmark, as applicable, that is or may be used for determining the length of an Interest Accrual Period pursuant to this Agreement as of such date and not including, for the avoidance of doubt, any tenor for such Benchmark that is then-removed from the definition of “Interest Accrual Period” pursuant to clause (d) of Section 2.12.</w:t>
      </w:r>
    </w:p>
    <w:p>
      <w:pPr>
        <w:spacing w:after="0" w:line="1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Average Monthly Burn</w:t>
      </w:r>
      <w:r>
        <w:rPr>
          <w:rFonts w:ascii="Times New Roman" w:cs="Times New Roman" w:eastAsia="Times New Roman" w:hAnsi="Times New Roman"/>
          <w:sz w:val="15"/>
          <w:szCs w:val="15"/>
          <w:color w:val="auto"/>
        </w:rPr>
        <w:t>” means for any period,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sum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(a) Consolidated Net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sum</w:t>
      </w:r>
      <w:r>
        <w:rPr>
          <w:rFonts w:ascii="Times New Roman" w:cs="Times New Roman" w:eastAsia="Times New Roman" w:hAnsi="Times New Roman"/>
          <w:sz w:val="15"/>
          <w:szCs w:val="15"/>
          <w:color w:val="auto"/>
        </w:rPr>
        <w:t>, without duplication, of the following amounts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such period, but solely to the extent decreasing Consolidated Net Income for such period: (i) Consolidated Interest Expense,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provisions for taxes based on income,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(iii) total depreciation expense,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(iv) total amortization expense,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(v) non-cash grant of stock or stock equivalents or other compensation expense,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(vi) to the extent agreed by the Administrative Agent in its reasonable discretion, extraordinary, unusual or non-recurring losses or expenses, </w:t>
      </w:r>
      <w:r>
        <w:rPr>
          <w:rFonts w:ascii="Times New Roman" w:cs="Times New Roman" w:eastAsia="Times New Roman" w:hAnsi="Times New Roman"/>
          <w:sz w:val="15"/>
          <w:szCs w:val="15"/>
          <w:u w:val="single" w:color="auto"/>
          <w:color w:val="auto"/>
        </w:rPr>
        <w:t>minus</w:t>
      </w:r>
      <w:r>
        <w:rPr>
          <w:rFonts w:ascii="Times New Roman" w:cs="Times New Roman" w:eastAsia="Times New Roman" w:hAnsi="Times New Roman"/>
          <w:sz w:val="15"/>
          <w:szCs w:val="15"/>
          <w:color w:val="auto"/>
        </w:rPr>
        <w:t xml:space="preserve"> (vii) to the extent agreed by the Administrative Agent in its reasonable discretion, extraordinary, unusual or non-recurring cash gains, </w:t>
      </w:r>
      <w:r>
        <w:rPr>
          <w:rFonts w:ascii="Times New Roman" w:cs="Times New Roman" w:eastAsia="Times New Roman" w:hAnsi="Times New Roman"/>
          <w:sz w:val="15"/>
          <w:szCs w:val="15"/>
          <w:u w:val="single" w:color="auto"/>
          <w:color w:val="auto"/>
        </w:rPr>
        <w:t>minus</w:t>
      </w:r>
      <w:r>
        <w:rPr>
          <w:rFonts w:ascii="Times New Roman" w:cs="Times New Roman" w:eastAsia="Times New Roman" w:hAnsi="Times New Roman"/>
          <w:sz w:val="15"/>
          <w:szCs w:val="15"/>
          <w:color w:val="auto"/>
        </w:rPr>
        <w:t xml:space="preserve"> (viii) software development costs to the extent capitalized, </w:t>
      </w:r>
      <w:r>
        <w:rPr>
          <w:rFonts w:ascii="Times New Roman" w:cs="Times New Roman" w:eastAsia="Times New Roman" w:hAnsi="Times New Roman"/>
          <w:sz w:val="15"/>
          <w:szCs w:val="15"/>
          <w:u w:val="single" w:color="auto"/>
          <w:color w:val="auto"/>
        </w:rPr>
        <w:t>minus</w:t>
      </w:r>
      <w:r>
        <w:rPr>
          <w:rFonts w:ascii="Times New Roman" w:cs="Times New Roman" w:eastAsia="Times New Roman" w:hAnsi="Times New Roman"/>
          <w:sz w:val="15"/>
          <w:szCs w:val="15"/>
          <w:color w:val="auto"/>
        </w:rPr>
        <w:t xml:space="preserve"> (ix) Consolidated Capital Expenditures.</w:t>
      </w:r>
    </w:p>
    <w:p>
      <w:pPr>
        <w:sectPr>
          <w:pgSz w:w="11900" w:h="16838" w:orient="portrait"/>
          <w:cols w:equalWidth="0" w:num="1">
            <w:col w:w="11280"/>
          </w:cols>
          <w:pgMar w:left="300" w:top="1148" w:right="319" w:bottom="1440" w:gutter="0" w:footer="0" w:header="0"/>
        </w:sectPr>
      </w:pPr>
    </w:p>
    <w:bookmarkStart w:id="207" w:name="page208"/>
    <w:bookmarkEnd w:id="207"/>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30.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Backup Servicer</w:t>
      </w:r>
      <w:r>
        <w:rPr>
          <w:rFonts w:ascii="Times New Roman" w:cs="Times New Roman" w:eastAsia="Times New Roman" w:hAnsi="Times New Roman"/>
          <w:sz w:val="15"/>
          <w:szCs w:val="15"/>
          <w:color w:val="auto"/>
        </w:rPr>
        <w:t>” means (a) Carmel Solutions LLC, acting in such capacity pursuant to the Backup Servicing Agreement or (b) any other Person party to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backup servicing agreement acting as backup servicer with the written consent of the Administrative Agent.</w:t>
      </w:r>
    </w:p>
    <w:p>
      <w:pPr>
        <w:spacing w:after="0" w:line="14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31.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Backup Servicer Event of Default</w:t>
      </w:r>
      <w:r>
        <w:rPr>
          <w:rFonts w:ascii="Times New Roman" w:cs="Times New Roman" w:eastAsia="Times New Roman" w:hAnsi="Times New Roman"/>
          <w:sz w:val="15"/>
          <w:szCs w:val="15"/>
          <w:color w:val="auto"/>
        </w:rPr>
        <w:t>” means a termination event, event of default or similar term (howsoever defined) as specified in the Backup Servicing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Agreement, or any other breach, event or circumstance that permits a termination of the Backup Servicer.</w:t>
      </w:r>
    </w:p>
    <w:p>
      <w:pPr>
        <w:spacing w:after="0" w:line="142"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Backup Servicer Report</w:t>
      </w:r>
      <w:r>
        <w:rPr>
          <w:rFonts w:ascii="Times New Roman" w:cs="Times New Roman" w:eastAsia="Times New Roman" w:hAnsi="Times New Roman"/>
          <w:sz w:val="15"/>
          <w:szCs w:val="15"/>
          <w:color w:val="auto"/>
        </w:rPr>
        <w:t>” means the report specified in the Backup Servicing Agreement, in form and substance reasonably acceptable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Administrative Agent.</w:t>
      </w:r>
    </w:p>
    <w:p>
      <w:pPr>
        <w:spacing w:after="0" w:line="12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Backup Servicing Agreement</w:t>
      </w:r>
      <w:r>
        <w:rPr>
          <w:rFonts w:ascii="Times New Roman" w:cs="Times New Roman" w:eastAsia="Times New Roman" w:hAnsi="Times New Roman"/>
          <w:sz w:val="15"/>
          <w:szCs w:val="15"/>
          <w:color w:val="auto"/>
        </w:rPr>
        <w:t>” means the Master Services Agreement among the Borrower, the Administrative Agent, the Servicer and Backup Servicer,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dated as of February 17, 2023, or such other similar agreement in form and substance satisfactory to the Administrative Agent.</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Bail-In Action</w:t>
      </w:r>
      <w:r>
        <w:rPr>
          <w:rFonts w:ascii="Times New Roman" w:cs="Times New Roman" w:eastAsia="Times New Roman" w:hAnsi="Times New Roman"/>
          <w:sz w:val="15"/>
          <w:szCs w:val="15"/>
          <w:color w:val="auto"/>
        </w:rPr>
        <w:t>” means the exercise of any Write-Down and Conversion Powers by the applicable Resolution Authority in respect of any liability of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Affected Financial Institution.</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35.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Bail-In Legislation</w:t>
      </w:r>
      <w:r>
        <w:rPr>
          <w:rFonts w:ascii="Times New Roman" w:cs="Times New Roman" w:eastAsia="Times New Roman" w:hAnsi="Times New Roman"/>
          <w:sz w:val="15"/>
          <w:szCs w:val="15"/>
          <w:color w:val="auto"/>
        </w:rPr>
        <w:t>” means (a) with respect to any EEA Member Country implementing Article 55 of Directive 2014/59/EU of the European Parliament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Bankruptcy Code</w:t>
      </w:r>
      <w:r>
        <w:rPr>
          <w:rFonts w:ascii="Times New Roman" w:cs="Times New Roman" w:eastAsia="Times New Roman" w:hAnsi="Times New Roman"/>
          <w:sz w:val="15"/>
          <w:szCs w:val="15"/>
          <w:color w:val="auto"/>
        </w:rPr>
        <w:t>” means Title 11 of the United States Code.</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Base Rate</w:t>
      </w:r>
      <w:r>
        <w:rPr>
          <w:rFonts w:ascii="Times New Roman" w:cs="Times New Roman" w:eastAsia="Times New Roman" w:hAnsi="Times New Roman"/>
          <w:sz w:val="15"/>
          <w:szCs w:val="15"/>
          <w:color w:val="auto"/>
        </w:rPr>
        <w:t>” means, on any date of determination, a fluctuating interest rate per annum equal to the higher of (a) the Federal Funds Rate plus 0.50% and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Prime Rate minus 3.00%.</w:t>
      </w:r>
    </w:p>
    <w:p>
      <w:pPr>
        <w:spacing w:after="0" w:line="13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 xml:space="preserve">ARTICLE 38.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Benchmark</w:t>
      </w:r>
      <w:r>
        <w:rPr>
          <w:rFonts w:ascii="Times New Roman" w:cs="Times New Roman" w:eastAsia="Times New Roman" w:hAnsi="Times New Roman"/>
          <w:sz w:val="15"/>
          <w:szCs w:val="15"/>
          <w:color w:val="auto"/>
        </w:rPr>
        <w:t>” means, on and after the Closing Date, one-month Term SOFR;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that if a Benchmark Transition Event and its related Benchmark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Replacement Date have occurred prior to the Reference Time in respect of any determination of the Benchmark on any date, then, pursuant to terms and according to Section 2.12, the Benchmark Replacement will replace the then-current Benchmark for all purposes hereunder in respect of such determination on such date and all determinations on all subsequent dates;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if the Benchmark as determined would be less than the Floor for any Interest Accrual Period, the Benchmark will be the Floor for such Interest Accrual Period.</w:t>
      </w:r>
    </w:p>
    <w:p>
      <w:pPr>
        <w:spacing w:after="0" w:line="35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 xml:space="preserve">ARTICLE 39.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Benchmark Replacement</w:t>
      </w:r>
      <w:r>
        <w:rPr>
          <w:rFonts w:ascii="Times New Roman" w:cs="Times New Roman" w:eastAsia="Times New Roman" w:hAnsi="Times New Roman"/>
          <w:sz w:val="15"/>
          <w:szCs w:val="15"/>
          <w:color w:val="auto"/>
        </w:rPr>
        <w:t>” means, for any Interest Accrual Period, the sum of: (a) the alternate benchmark rate that has been selected by the 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Agent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w:t>
      </w:r>
    </w:p>
    <w:p>
      <w:pPr>
        <w:sectPr>
          <w:pgSz w:w="11900" w:h="16838" w:orient="portrait"/>
          <w:cols w:equalWidth="0" w:num="1">
            <w:col w:w="11280"/>
          </w:cols>
          <w:pgMar w:left="300" w:top="1148" w:right="319" w:bottom="1440" w:gutter="0" w:footer="0" w:header="0"/>
        </w:sectPr>
      </w:pPr>
    </w:p>
    <w:bookmarkStart w:id="208" w:name="page209"/>
    <w:bookmarkEnd w:id="208"/>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determining a benchmark rate as a replacement for the then-current Benchmark for U.S. dollar-denominated syndicated or bilateral credit facilities at such time and (b) the related Benchmark Replacement Adjustment;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Benchmark Replacement as determined pursuant to the above would be less than the Floor, the Benchmark Replacement will be deemed to be the Floor for the purposes of this Agreement and the other Facility Documents.</w:t>
      </w:r>
    </w:p>
    <w:p>
      <w:pPr>
        <w:spacing w:after="0" w:line="15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7"/>
          <w:szCs w:val="17"/>
          <w:color w:val="auto"/>
        </w:rPr>
        <w:t xml:space="preserve">ARTICLE 40.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Benchmark Replacement Adjustment</w:t>
      </w:r>
      <w:r>
        <w:rPr>
          <w:rFonts w:ascii="Times New Roman" w:cs="Times New Roman" w:eastAsia="Times New Roman" w:hAnsi="Times New Roman"/>
          <w:sz w:val="15"/>
          <w:szCs w:val="15"/>
          <w:color w:val="auto"/>
        </w:rPr>
        <w:t>” means, for any Interest Accrual Period, the spread adjustment, or method for calculating or determining such spread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adjustment, (which may be a positive or negative value or zero) that has been selected by the Administrative Agent for the applicable Corresponding Tenor in its sole discretion.</w:t>
      </w:r>
    </w:p>
    <w:p>
      <w:pPr>
        <w:spacing w:after="0" w:line="16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ARTICLE 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Benchmark Replacement Conforming Changes</w:t>
      </w:r>
      <w:r>
        <w:rPr>
          <w:rFonts w:ascii="Times New Roman" w:cs="Times New Roman" w:eastAsia="Times New Roman" w:hAnsi="Times New Roman"/>
          <w:sz w:val="15"/>
          <w:szCs w:val="15"/>
          <w:color w:val="auto"/>
        </w:rPr>
        <w:t>” means, with respect to any Benchmark Replacement, any technical, administrative or operational changes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(including changes to the definition of “Interest Accrual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42.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Benchmark Replacement Date</w:t>
      </w:r>
      <w:r>
        <w:rPr>
          <w:rFonts w:ascii="Times New Roman" w:cs="Times New Roman" w:eastAsia="Times New Roman" w:hAnsi="Times New Roman"/>
          <w:sz w:val="15"/>
          <w:szCs w:val="15"/>
          <w:color w:val="auto"/>
        </w:rPr>
        <w:t>” means the earliest to occur of the following events with respect to the then-current Benchmark:</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43. </w:t>
      </w:r>
      <w:r>
        <w:rPr>
          <w:rFonts w:ascii="Times New Roman" w:cs="Times New Roman" w:eastAsia="Times New Roman" w:hAnsi="Times New Roman"/>
          <w:sz w:val="15"/>
          <w:szCs w:val="15"/>
          <w:color w:val="auto"/>
        </w:rPr>
        <w:t>(1) in the case of clause (1) or (2) of the definition of “Benchmark Transition Event,” the later of (a) the date of the public statement or publication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information referenced therein and (b) the date on which the administrator of the Benchmark permanently or indefinitely ceases to provide the Benchmark; or</w:t>
      </w:r>
    </w:p>
    <w:p>
      <w:pPr>
        <w:spacing w:after="0" w:line="113" w:lineRule="exact"/>
        <w:rPr>
          <w:sz w:val="20"/>
          <w:szCs w:val="20"/>
          <w:color w:val="auto"/>
        </w:rPr>
      </w:pPr>
    </w:p>
    <w:p>
      <w:pPr>
        <w:ind w:left="520"/>
        <w:spacing w:after="0"/>
        <w:tabs>
          <w:tab w:leader="none" w:pos="1900" w:val="left"/>
        </w:tabs>
        <w:rPr>
          <w:sz w:val="20"/>
          <w:szCs w:val="20"/>
          <w:color w:val="auto"/>
        </w:rPr>
      </w:pPr>
      <w:r>
        <w:rPr>
          <w:rFonts w:ascii="Times New Roman" w:cs="Times New Roman" w:eastAsia="Times New Roman" w:hAnsi="Times New Roman"/>
          <w:sz w:val="17"/>
          <w:szCs w:val="17"/>
          <w:color w:val="auto"/>
        </w:rPr>
        <w:t xml:space="preserve">ARTICLE 44. </w:t>
      </w:r>
      <w:r>
        <w:rPr>
          <w:rFonts w:ascii="Times New Roman" w:cs="Times New Roman" w:eastAsia="Times New Roman" w:hAnsi="Times New Roman"/>
          <w:sz w:val="15"/>
          <w:szCs w:val="15"/>
          <w:color w:val="auto"/>
        </w:rPr>
        <w:t>(2)</w:t>
      </w:r>
      <w:r>
        <w:rPr>
          <w:sz w:val="20"/>
          <w:szCs w:val="20"/>
          <w:color w:val="auto"/>
        </w:rPr>
        <w:tab/>
      </w:r>
      <w:r>
        <w:rPr>
          <w:rFonts w:ascii="Times New Roman" w:cs="Times New Roman" w:eastAsia="Times New Roman" w:hAnsi="Times New Roman"/>
          <w:sz w:val="16"/>
          <w:szCs w:val="16"/>
          <w:color w:val="auto"/>
        </w:rPr>
        <w:t>the case of clause (3) of the definition of “Benchmark Transition Event,” the date of the public statement or publication of information referenced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therein.</w:t>
      </w:r>
    </w:p>
    <w:p>
      <w:pPr>
        <w:spacing w:after="0" w:line="170"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45. </w:t>
      </w:r>
      <w:r>
        <w:rPr>
          <w:rFonts w:ascii="Times New Roman" w:cs="Times New Roman" w:eastAsia="Times New Roman" w:hAnsi="Times New Roman"/>
          <w:sz w:val="15"/>
          <w:szCs w:val="15"/>
          <w:color w:val="auto"/>
        </w:rPr>
        <w:t>For the avoidance of doubt, if the event giving rise to the Benchmark Replacement Date occurs on the same day as, but earlier than, the Reference Time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respect of any determination, the Benchmark Replacement Date will be deemed to have occurred prior to the Reference Time for such determination.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46.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Benchmark Transition Event</w:t>
      </w:r>
      <w:r>
        <w:rPr>
          <w:rFonts w:ascii="Times New Roman" w:cs="Times New Roman" w:eastAsia="Times New Roman" w:hAnsi="Times New Roman"/>
          <w:sz w:val="15"/>
          <w:szCs w:val="15"/>
          <w:color w:val="auto"/>
        </w:rPr>
        <w:t>” means the occurrence of one or more of the following events with respect to the then-current Benchmark:</w:t>
      </w:r>
    </w:p>
    <w:p>
      <w:pPr>
        <w:spacing w:after="0" w:line="157" w:lineRule="exact"/>
        <w:rPr>
          <w:sz w:val="20"/>
          <w:szCs w:val="20"/>
          <w:color w:val="auto"/>
        </w:rPr>
      </w:pPr>
    </w:p>
    <w:p>
      <w:pPr>
        <w:jc w:val="both"/>
        <w:ind w:left="520" w:firstLine="503"/>
        <w:spacing w:after="0" w:line="226" w:lineRule="auto"/>
        <w:tabs>
          <w:tab w:leader="none" w:pos="152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or on behalf of the administrator of the Benchmark (or the published component used in the calculation thereof) announcing that such administrator has ceased or will cease to provide the Benchmark (or such component thereof), permanently or indefinitely; provided that, at the time of such statement or</w:t>
      </w:r>
    </w:p>
    <w:p>
      <w:pPr>
        <w:sectPr>
          <w:pgSz w:w="11900" w:h="16838" w:orient="portrait"/>
          <w:cols w:equalWidth="0" w:num="1">
            <w:col w:w="11280"/>
          </w:cols>
          <w:pgMar w:left="300" w:top="1139" w:right="319" w:bottom="1440" w:gutter="0" w:footer="0" w:header="0"/>
        </w:sectPr>
      </w:pPr>
    </w:p>
    <w:bookmarkStart w:id="209" w:name="page210"/>
    <w:bookmarkEnd w:id="209"/>
    <w:p>
      <w:pPr>
        <w:ind w:left="520"/>
        <w:spacing w:after="0"/>
        <w:rPr>
          <w:sz w:val="20"/>
          <w:szCs w:val="20"/>
          <w:color w:val="auto"/>
        </w:rPr>
      </w:pPr>
      <w:r>
        <w:rPr>
          <w:rFonts w:ascii="Times New Roman" w:cs="Times New Roman" w:eastAsia="Times New Roman" w:hAnsi="Times New Roman"/>
          <w:sz w:val="16"/>
          <w:szCs w:val="16"/>
          <w:color w:val="auto"/>
        </w:rPr>
        <w:t>publication, there is no successor administrator that will continue to provide the Benchmark (or such component thereof);</w:t>
      </w:r>
    </w:p>
    <w:p>
      <w:pPr>
        <w:spacing w:after="0" w:line="145" w:lineRule="exact"/>
        <w:rPr>
          <w:sz w:val="20"/>
          <w:szCs w:val="20"/>
          <w:color w:val="auto"/>
        </w:rPr>
      </w:pPr>
    </w:p>
    <w:p>
      <w:pPr>
        <w:jc w:val="both"/>
        <w:ind w:left="520" w:firstLine="503"/>
        <w:spacing w:after="0" w:line="244" w:lineRule="auto"/>
        <w:tabs>
          <w:tab w:leader="none" w:pos="1529"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the Benchmark (or the published component used in the calculation thereof), the central bank for the currency of the Benchmark, an insolvency official with jurisdiction over the administrator for the Benchmark (or such component thereof),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125" w:lineRule="exact"/>
        <w:rPr>
          <w:rFonts w:ascii="Times New Roman" w:cs="Times New Roman" w:eastAsia="Times New Roman" w:hAnsi="Times New Roman"/>
          <w:sz w:val="14"/>
          <w:szCs w:val="14"/>
          <w:color w:val="auto"/>
        </w:rPr>
      </w:pPr>
    </w:p>
    <w:p>
      <w:pPr>
        <w:ind w:left="520" w:firstLine="503"/>
        <w:spacing w:after="0" w:line="235" w:lineRule="auto"/>
        <w:tabs>
          <w:tab w:leader="none" w:pos="152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the regulatory supervisor for the administrator of the Benchmark (or the published component used in the calculation thereof) announcing that the Benchmark (or such component thereof) is no longer representative.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47.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Beneficial Ownership Certification</w:t>
      </w:r>
      <w:r>
        <w:rPr>
          <w:rFonts w:ascii="Times New Roman" w:cs="Times New Roman" w:eastAsia="Times New Roman" w:hAnsi="Times New Roman"/>
          <w:sz w:val="15"/>
          <w:szCs w:val="15"/>
          <w:color w:val="auto"/>
        </w:rPr>
        <w:t>” means a certification regarding beneficial ownership required by the Beneficial Ownership Regulation.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48.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Beneficial Ownership Regulation</w:t>
      </w:r>
      <w:r>
        <w:rPr>
          <w:rFonts w:ascii="Times New Roman" w:cs="Times New Roman" w:eastAsia="Times New Roman" w:hAnsi="Times New Roman"/>
          <w:sz w:val="15"/>
          <w:szCs w:val="15"/>
          <w:color w:val="auto"/>
        </w:rPr>
        <w:t>” means 31 C.F.R. § 1010.230.</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49.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BHC Act Affiliate</w:t>
      </w:r>
      <w:r>
        <w:rPr>
          <w:rFonts w:ascii="Times New Roman" w:cs="Times New Roman" w:eastAsia="Times New Roman" w:hAnsi="Times New Roman"/>
          <w:sz w:val="15"/>
          <w:szCs w:val="15"/>
          <w:color w:val="auto"/>
        </w:rPr>
        <w:t>” of a party means an “affiliate” (as such term is defined under and interpreted in accordance with, 12 U.S.C. 1841(k)) of such party.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50.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Borrower</w:t>
      </w:r>
      <w:r>
        <w:rPr>
          <w:rFonts w:ascii="Times New Roman" w:cs="Times New Roman" w:eastAsia="Times New Roman" w:hAnsi="Times New Roman"/>
          <w:sz w:val="15"/>
          <w:szCs w:val="15"/>
          <w:color w:val="auto"/>
        </w:rPr>
        <w:t>” has the meaning specified in the preamble to this Agreement.</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 xml:space="preserve">ARTICLE 51.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Borrower Information</w:t>
      </w:r>
      <w:r>
        <w:rPr>
          <w:rFonts w:ascii="Times New Roman" w:cs="Times New Roman" w:eastAsia="Times New Roman" w:hAnsi="Times New Roman"/>
          <w:sz w:val="15"/>
          <w:szCs w:val="15"/>
          <w:color w:val="auto"/>
        </w:rPr>
        <w:t>” means the non-public or proprietary information provided hereunder by the Borrower with respect to the Borrower, Navan, their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respective Affiliates or any other non-public information relating to the foregoing furnished to any Secured Party pursuant to this Agreement or any other Facility Document. Notwithstanding the foregoing, the term “Borrower Information” shall not include any information which (a) is or becomes generally available to the public other than as a result of a breach of Section 12.09, (b) becomes available to the Administrative Agent, or any Lender or any of their respective Affiliates on a non-confidential basis from a source other than the Borrower or (c) was available to the Administrative Agent or any Lender on a non-confidential basis prior to disclosure by the Borrower hereunder.</w:t>
      </w:r>
    </w:p>
    <w:p>
      <w:pPr>
        <w:spacing w:after="0" w:line="15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52.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Borrower LLC Agreement</w:t>
      </w:r>
      <w:r>
        <w:rPr>
          <w:rFonts w:ascii="Times New Roman" w:cs="Times New Roman" w:eastAsia="Times New Roman" w:hAnsi="Times New Roman"/>
          <w:sz w:val="15"/>
          <w:szCs w:val="15"/>
          <w:color w:val="auto"/>
        </w:rPr>
        <w:t>” means that certain Amended and Restated Limited Liability Company Agreement of the Borrower, dated as of the 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Date, by and between Navan, as sole member, and Donald J. Puglisi, as Independent Manager.</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53.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Borrowing</w:t>
      </w:r>
      <w:r>
        <w:rPr>
          <w:rFonts w:ascii="Times New Roman" w:cs="Times New Roman" w:eastAsia="Times New Roman" w:hAnsi="Times New Roman"/>
          <w:sz w:val="15"/>
          <w:szCs w:val="15"/>
          <w:color w:val="auto"/>
        </w:rPr>
        <w:t>” has the meaning specified in Section 2.01.</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54.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Borrowing Base Certificate</w:t>
      </w:r>
      <w:r>
        <w:rPr>
          <w:rFonts w:ascii="Times New Roman" w:cs="Times New Roman" w:eastAsia="Times New Roman" w:hAnsi="Times New Roman"/>
          <w:sz w:val="15"/>
          <w:szCs w:val="15"/>
          <w:color w:val="auto"/>
        </w:rPr>
        <w:t>” means a statement in substantially the form attached to the form of Notice of Borrowing and form of Notice of Prepayment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attached hereto as Exhibit A and Exhibit B, respectively.</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55.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Borrowing Date</w:t>
      </w:r>
      <w:r>
        <w:rPr>
          <w:rFonts w:ascii="Times New Roman" w:cs="Times New Roman" w:eastAsia="Times New Roman" w:hAnsi="Times New Roman"/>
          <w:sz w:val="15"/>
          <w:szCs w:val="15"/>
          <w:color w:val="auto"/>
        </w:rPr>
        <w:t>” means the date of a Borrowing.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56.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British Pounds</w:t>
      </w:r>
      <w:r>
        <w:rPr>
          <w:rFonts w:ascii="Times New Roman" w:cs="Times New Roman" w:eastAsia="Times New Roman" w:hAnsi="Times New Roman"/>
          <w:sz w:val="15"/>
          <w:szCs w:val="15"/>
          <w:color w:val="auto"/>
        </w:rPr>
        <w:t>” means lawful money of the United Kingdom.</w:t>
      </w:r>
    </w:p>
    <w:p>
      <w:pPr>
        <w:sectPr>
          <w:pgSz w:w="11900" w:h="16838" w:orient="portrait"/>
          <w:cols w:equalWidth="0" w:num="1">
            <w:col w:w="11280"/>
          </w:cols>
          <w:pgMar w:left="300" w:top="1128" w:right="319" w:bottom="1440" w:gutter="0" w:footer="0" w:header="0"/>
        </w:sectPr>
      </w:pPr>
    </w:p>
    <w:bookmarkStart w:id="210" w:name="page211"/>
    <w:bookmarkEnd w:id="210"/>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57.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Business Day</w:t>
      </w:r>
      <w:r>
        <w:rPr>
          <w:rFonts w:ascii="Times New Roman" w:cs="Times New Roman" w:eastAsia="Times New Roman" w:hAnsi="Times New Roman"/>
          <w:sz w:val="15"/>
          <w:szCs w:val="15"/>
          <w:color w:val="auto"/>
        </w:rPr>
        <w:t>” means any day other than (a) a Saturday or Sunday, (b) the days on which banks are authorized or required to close in New York, New York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or London or a legal or federal holiday and (c) if the applicable Business Day relates to the advance or continuation of, or conversion into, or payment of an Advance bearing interest at the Benchmark or the determination of the Benchmark, the days on which banks dealing in U.S. Dollar deposits in the interbank market in London, England or New York, New York are authorized or required to be closed.</w:t>
      </w:r>
    </w:p>
    <w:p>
      <w:pPr>
        <w:spacing w:after="0" w:line="138"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58.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Calendar Week</w:t>
      </w:r>
      <w:r>
        <w:rPr>
          <w:rFonts w:ascii="Times New Roman" w:cs="Times New Roman" w:eastAsia="Times New Roman" w:hAnsi="Times New Roman"/>
          <w:sz w:val="15"/>
          <w:szCs w:val="15"/>
          <w:color w:val="auto"/>
        </w:rPr>
        <w:t>” means, in respect of any Collection Period, each calendar week (i) beginning on a Sunday and (ii) ending on a Saturday, and which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Saturday occurs during such Collection Period.</w:t>
      </w:r>
    </w:p>
    <w:p>
      <w:pPr>
        <w:spacing w:after="0" w:line="113" w:lineRule="exact"/>
        <w:rPr>
          <w:sz w:val="20"/>
          <w:szCs w:val="20"/>
          <w:color w:val="auto"/>
        </w:rPr>
      </w:pPr>
    </w:p>
    <w:p>
      <w:pPr>
        <w:jc w:val="both"/>
        <w:ind w:firstLine="16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Lease Obligations</w:t>
      </w:r>
      <w:r>
        <w:rPr>
          <w:rFonts w:ascii="Times New Roman" w:cs="Times New Roman" w:eastAsia="Times New Roman" w:hAnsi="Times New Roman"/>
          <w:sz w:val="16"/>
          <w:szCs w:val="16"/>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59.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Card Account</w:t>
      </w:r>
      <w:r>
        <w:rPr>
          <w:rFonts w:ascii="Times New Roman" w:cs="Times New Roman" w:eastAsia="Times New Roman" w:hAnsi="Times New Roman"/>
          <w:sz w:val="15"/>
          <w:szCs w:val="15"/>
          <w:color w:val="auto"/>
        </w:rPr>
        <w:t>” means a commercial card account established by a Card Account Agreement, including all Initial Accounts, all Additional Accounts and 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Automatically Designated Accounts.</w:t>
      </w:r>
    </w:p>
    <w:p>
      <w:pPr>
        <w:spacing w:after="0" w:line="14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60.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Card Account Agreement</w:t>
      </w:r>
      <w:r>
        <w:rPr>
          <w:rFonts w:ascii="Times New Roman" w:cs="Times New Roman" w:eastAsia="Times New Roman" w:hAnsi="Times New Roman"/>
          <w:sz w:val="15"/>
          <w:szCs w:val="15"/>
          <w:color w:val="auto"/>
        </w:rPr>
        <w:t>” means, collectively, (i) each Card Program Agreement, each between an Originator and an Obligor that provides the terms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conditions and disclosures required by Applicable Law for a Card Account and (ii) the Navan Terms of Service agreed between Navan and an Obligor.</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61.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Card Account Transaction</w:t>
      </w:r>
      <w:r>
        <w:rPr>
          <w:rFonts w:ascii="Times New Roman" w:cs="Times New Roman" w:eastAsia="Times New Roman" w:hAnsi="Times New Roman"/>
          <w:sz w:val="15"/>
          <w:szCs w:val="15"/>
          <w:color w:val="auto"/>
        </w:rPr>
        <w:t>” means any transaction on a Card Account, including purchases, payments or other credits or debits to a Card Account.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62.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Cash</w:t>
      </w:r>
      <w:r>
        <w:rPr>
          <w:rFonts w:ascii="Times New Roman" w:cs="Times New Roman" w:eastAsia="Times New Roman" w:hAnsi="Times New Roman"/>
          <w:sz w:val="15"/>
          <w:szCs w:val="15"/>
          <w:color w:val="auto"/>
        </w:rPr>
        <w:t>” means Dollars immediately available on the day in question.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63.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Change of Control</w:t>
      </w:r>
      <w:r>
        <w:rPr>
          <w:rFonts w:ascii="Times New Roman" w:cs="Times New Roman" w:eastAsia="Times New Roman" w:hAnsi="Times New Roman"/>
          <w:sz w:val="15"/>
          <w:szCs w:val="15"/>
          <w:color w:val="auto"/>
        </w:rPr>
        <w:t>” means, at any time, the occurrence of one or more of the following events:</w:t>
      </w:r>
    </w:p>
    <w:p>
      <w:pPr>
        <w:spacing w:after="0" w:line="176" w:lineRule="exact"/>
        <w:rPr>
          <w:sz w:val="20"/>
          <w:szCs w:val="20"/>
          <w:color w:val="auto"/>
        </w:rPr>
      </w:pPr>
    </w:p>
    <w:p>
      <w:pPr>
        <w:jc w:val="both"/>
        <w:ind w:left="520"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64. </w:t>
      </w:r>
      <w:r>
        <w:rPr>
          <w:rFonts w:ascii="Times New Roman" w:cs="Times New Roman" w:eastAsia="Times New Roman" w:hAnsi="Times New Roman"/>
          <w:sz w:val="15"/>
          <w:szCs w:val="15"/>
          <w:color w:val="auto"/>
        </w:rPr>
        <w:t>(a) any “person” or “group” (as such terms are used in Sections 13(d) and 14(d) of the Securities Exchange Act of 1934, but excluding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employee benefit plan of such person or its Subsidiaries, and any person or entity acting in its capacity as trustee, agent or other fiduciary or administrator of any such plan) becomes after the Closing Date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5"/>
          <w:szCs w:val="15"/>
          <w:i w:val="1"/>
          <w:iCs w:val="1"/>
          <w:color w:val="auto"/>
        </w:rPr>
        <w:t>option right</w:t>
      </w:r>
      <w:r>
        <w:rPr>
          <w:rFonts w:ascii="Times New Roman" w:cs="Times New Roman" w:eastAsia="Times New Roman" w:hAnsi="Times New Roman"/>
          <w:sz w:val="15"/>
          <w:szCs w:val="15"/>
          <w:color w:val="auto"/>
        </w:rPr>
        <w:t>”)), directly or indirectly, of Equity Interests of Navan that, taken together, would entitle such person or group to exercise more than 50% of the rights of all holders of Equity Interests of Navan to vote for members of the board of directors or equivalent governing body of Navan on a fully-diluted basis</w:t>
      </w:r>
    </w:p>
    <w:p>
      <w:pPr>
        <w:sectPr>
          <w:pgSz w:w="11900" w:h="16838" w:orient="portrait"/>
          <w:cols w:equalWidth="0" w:num="1">
            <w:col w:w="11280"/>
          </w:cols>
          <w:pgMar w:left="300" w:top="1148" w:right="319" w:bottom="1440" w:gutter="0" w:footer="0" w:header="0"/>
        </w:sectPr>
      </w:pPr>
    </w:p>
    <w:bookmarkStart w:id="211" w:name="page212"/>
    <w:bookmarkEnd w:id="211"/>
    <w:p>
      <w:pPr>
        <w:ind w:left="520"/>
        <w:spacing w:after="0"/>
        <w:rPr>
          <w:sz w:val="20"/>
          <w:szCs w:val="20"/>
          <w:color w:val="auto"/>
        </w:rPr>
      </w:pPr>
      <w:r>
        <w:rPr>
          <w:rFonts w:ascii="Times New Roman" w:cs="Times New Roman" w:eastAsia="Times New Roman" w:hAnsi="Times New Roman"/>
          <w:sz w:val="16"/>
          <w:szCs w:val="16"/>
          <w:color w:val="auto"/>
        </w:rPr>
        <w:t>(and taking into account all such securities that such person or group has the right to acquire pursuant to any option right);</w:t>
      </w:r>
    </w:p>
    <w:p>
      <w:pPr>
        <w:spacing w:after="0" w:line="185" w:lineRule="exact"/>
        <w:rPr>
          <w:sz w:val="20"/>
          <w:szCs w:val="20"/>
          <w:color w:val="auto"/>
        </w:rPr>
      </w:pPr>
    </w:p>
    <w:p>
      <w:pPr>
        <w:ind w:left="520"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65. </w:t>
      </w:r>
      <w:r>
        <w:rPr>
          <w:rFonts w:ascii="Times New Roman" w:cs="Times New Roman" w:eastAsia="Times New Roman" w:hAnsi="Times New Roman"/>
          <w:sz w:val="15"/>
          <w:szCs w:val="15"/>
          <w:color w:val="auto"/>
        </w:rPr>
        <w:t>(b) Navan fails to directly own, legally and beneficially, 100% of the Equity Interests of the Borrower at any time free and clear of any Liens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than Permitted Liens; or</w:t>
      </w:r>
    </w:p>
    <w:p>
      <w:pPr>
        <w:spacing w:after="0" w:line="136" w:lineRule="exact"/>
        <w:rPr>
          <w:sz w:val="20"/>
          <w:szCs w:val="20"/>
          <w:color w:val="auto"/>
        </w:rPr>
      </w:pPr>
    </w:p>
    <w:p>
      <w:pPr>
        <w:ind w:left="1020"/>
        <w:spacing w:after="0"/>
        <w:tabs>
          <w:tab w:leader="none" w:pos="2340" w:val="left"/>
        </w:tabs>
        <w:rPr>
          <w:sz w:val="20"/>
          <w:szCs w:val="20"/>
          <w:color w:val="auto"/>
        </w:rPr>
      </w:pPr>
      <w:r>
        <w:rPr>
          <w:rFonts w:ascii="Times New Roman" w:cs="Times New Roman" w:eastAsia="Times New Roman" w:hAnsi="Times New Roman"/>
          <w:sz w:val="17"/>
          <w:szCs w:val="17"/>
          <w:color w:val="auto"/>
        </w:rPr>
        <w:t xml:space="preserve">ARTICLE 66. </w:t>
      </w:r>
      <w:r>
        <w:rPr>
          <w:rFonts w:ascii="Times New Roman" w:cs="Times New Roman" w:eastAsia="Times New Roman" w:hAnsi="Times New Roman"/>
          <w:sz w:val="15"/>
          <w:szCs w:val="15"/>
          <w:color w:val="auto"/>
        </w:rPr>
        <w:t>(c)</w:t>
      </w:r>
      <w:r>
        <w:rPr>
          <w:sz w:val="20"/>
          <w:szCs w:val="20"/>
          <w:color w:val="auto"/>
        </w:rPr>
        <w:tab/>
      </w:r>
      <w:r>
        <w:rPr>
          <w:rFonts w:ascii="Times New Roman" w:cs="Times New Roman" w:eastAsia="Times New Roman" w:hAnsi="Times New Roman"/>
          <w:sz w:val="14"/>
          <w:szCs w:val="14"/>
          <w:color w:val="auto"/>
        </w:rPr>
        <w:t>Navan ceases to have the power or authority to Control or direct the management and policies of the Borrower at any time.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67.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w:t>
      </w:r>
      <w:r>
        <w:rPr>
          <w:rFonts w:ascii="Times New Roman" w:cs="Times New Roman" w:eastAsia="Times New Roman" w:hAnsi="Times New Roman"/>
          <w:sz w:val="15"/>
          <w:szCs w:val="15"/>
          <w:color w:val="auto"/>
        </w:rPr>
        <w:t>” means (a) with respect to Lenders, each of the following classes of Lenders: (i) Class A Lenders and (ii) Class B Lenders and (b) with respect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Advances, each of the following classes of Advances: (i) Class A Advances and (ii) Class B Advances.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68.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Advance</w:t>
      </w:r>
      <w:r>
        <w:rPr>
          <w:rFonts w:ascii="Times New Roman" w:cs="Times New Roman" w:eastAsia="Times New Roman" w:hAnsi="Times New Roman"/>
          <w:sz w:val="15"/>
          <w:szCs w:val="15"/>
          <w:color w:val="auto"/>
        </w:rPr>
        <w:t>” means an Advance funded by a Class A Lender hereunder.</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69.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Advance Amount</w:t>
      </w:r>
      <w:r>
        <w:rPr>
          <w:rFonts w:ascii="Times New Roman" w:cs="Times New Roman" w:eastAsia="Times New Roman" w:hAnsi="Times New Roman"/>
          <w:sz w:val="15"/>
          <w:szCs w:val="15"/>
          <w:color w:val="auto"/>
        </w:rPr>
        <w:t>” means, with respect to a Class A Advance, the initial principal amount of such Class A Advance funded by the Class A Lenders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on the Borrowing Date of such Class A Advance.</w:t>
      </w:r>
    </w:p>
    <w:p>
      <w:pPr>
        <w:spacing w:after="0" w:line="11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70.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Aggregate Loan Principal Balance</w:t>
      </w:r>
      <w:r>
        <w:rPr>
          <w:rFonts w:ascii="Times New Roman" w:cs="Times New Roman" w:eastAsia="Times New Roman" w:hAnsi="Times New Roman"/>
          <w:sz w:val="15"/>
          <w:szCs w:val="15"/>
          <w:color w:val="auto"/>
        </w:rPr>
        <w:t>” means, at any time, the sum of the Class A Advance Amounts of all Class A Advances funded by all 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Lenders at or prior to such time, reduced by all payments of principal made prior to such time on the Class A Advances.</w:t>
      </w:r>
    </w:p>
    <w:p>
      <w:pPr>
        <w:spacing w:after="0" w:line="1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71.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Borrowing Base</w:t>
      </w:r>
      <w:r>
        <w:rPr>
          <w:rFonts w:ascii="Times New Roman" w:cs="Times New Roman" w:eastAsia="Times New Roman" w:hAnsi="Times New Roman"/>
          <w:sz w:val="15"/>
          <w:szCs w:val="15"/>
          <w:color w:val="auto"/>
        </w:rPr>
        <w:t>” means, as of any date of determination, an amount equal to the product of (a) the WA Class A Advance Rate on such date and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 amount equal to (i) the Dollar Equivalent of the Aggregate Eligible Receivable Balance on such date, minus (ii) the Excess Concentration Amount on such date plus (iii) the Dollar Equivalent of all cash in the Collection Accounts. For purposes hereof, the Receivable Balance with respect to a Receivable purchased by the Borrower from the Seller at a discount that is included in the computation of the Aggregate Eligible Receivable Balance from time to time shall be the Dollar Equivalent of the outstanding principal balance of such Receivable giving effect to such discount.</w:t>
      </w:r>
    </w:p>
    <w:p>
      <w:pPr>
        <w:spacing w:after="0" w:line="1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72.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Borrowing Base Deficiency</w:t>
      </w:r>
      <w:r>
        <w:rPr>
          <w:rFonts w:ascii="Times New Roman" w:cs="Times New Roman" w:eastAsia="Times New Roman" w:hAnsi="Times New Roman"/>
          <w:sz w:val="15"/>
          <w:szCs w:val="15"/>
          <w:color w:val="auto"/>
        </w:rPr>
        <w:t>” means, as of any date of determination, the excess, if any, of (a) the Class A Aggregate Loan Principal Balance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such date (before giving effect to any payments or distributions to be made on such date in reduction of the Class A Aggregate Loan Principal Balance on such date) over (b) the Class A Borrowing Base on such date.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73.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Committed Amount</w:t>
      </w:r>
      <w:r>
        <w:rPr>
          <w:rFonts w:ascii="Times New Roman" w:cs="Times New Roman" w:eastAsia="Times New Roman" w:hAnsi="Times New Roman"/>
          <w:sz w:val="15"/>
          <w:szCs w:val="15"/>
          <w:color w:val="auto"/>
        </w:rPr>
        <w:t>” means $213,904,000.</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74.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Draw Fee</w:t>
      </w:r>
      <w:r>
        <w:rPr>
          <w:rFonts w:ascii="Times New Roman" w:cs="Times New Roman" w:eastAsia="Times New Roman" w:hAnsi="Times New Roman"/>
          <w:sz w:val="15"/>
          <w:szCs w:val="15"/>
          <w:color w:val="auto"/>
        </w:rPr>
        <w:t>” has the meaning specified in the Class A Fee Letter.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75.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Exit Fee</w:t>
      </w:r>
      <w:r>
        <w:rPr>
          <w:rFonts w:ascii="Times New Roman" w:cs="Times New Roman" w:eastAsia="Times New Roman" w:hAnsi="Times New Roman"/>
          <w:sz w:val="15"/>
          <w:szCs w:val="15"/>
          <w:color w:val="auto"/>
        </w:rPr>
        <w:t>” has the meaning specified in the Class A Fee Letter.</w:t>
      </w:r>
    </w:p>
    <w:p>
      <w:pPr>
        <w:spacing w:after="0" w:line="18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76.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Fee Letter</w:t>
      </w:r>
      <w:r>
        <w:rPr>
          <w:rFonts w:ascii="Times New Roman" w:cs="Times New Roman" w:eastAsia="Times New Roman" w:hAnsi="Times New Roman"/>
          <w:sz w:val="15"/>
          <w:szCs w:val="15"/>
          <w:color w:val="auto"/>
        </w:rPr>
        <w:t>” means the Class A Fee Letter dated as of the Closing Date, by and among, the Borrower, Navan, the Administrative Agent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 A Lenders.</w:t>
      </w:r>
    </w:p>
    <w:p>
      <w:pPr>
        <w:sectPr>
          <w:pgSz w:w="11900" w:h="16838" w:orient="portrait"/>
          <w:cols w:equalWidth="0" w:num="1">
            <w:col w:w="11280"/>
          </w:cols>
          <w:pgMar w:left="300" w:top="1139" w:right="319" w:bottom="1440" w:gutter="0" w:footer="0" w:header="0"/>
        </w:sectPr>
      </w:pPr>
    </w:p>
    <w:bookmarkStart w:id="212" w:name="page213"/>
    <w:bookmarkEnd w:id="212"/>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77.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Interest</w:t>
      </w:r>
      <w:r>
        <w:rPr>
          <w:rFonts w:ascii="Times New Roman" w:cs="Times New Roman" w:eastAsia="Times New Roman" w:hAnsi="Times New Roman"/>
          <w:sz w:val="15"/>
          <w:szCs w:val="15"/>
          <w:color w:val="auto"/>
        </w:rPr>
        <w:t>” means, for each day during an Interest Accrual Period and each outstanding Class A Advance on such day, the sum of the products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each day during such Interest Accrual Period) of:</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ARTICLE 78. </w:t>
      </w:r>
      <w:r>
        <w:rPr>
          <w:rFonts w:ascii="Times New Roman" w:cs="Times New Roman" w:eastAsia="Times New Roman" w:hAnsi="Times New Roman"/>
          <w:sz w:val="15"/>
          <w:szCs w:val="15"/>
          <w:color w:val="auto"/>
        </w:rPr>
        <w:t>IR x P x 1/D</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ARTICLE 79. </w:t>
      </w:r>
      <w:r>
        <w:rPr>
          <w:rFonts w:ascii="Times New Roman" w:cs="Times New Roman" w:eastAsia="Times New Roman" w:hAnsi="Times New Roman"/>
          <w:sz w:val="15"/>
          <w:szCs w:val="15"/>
          <w:color w:val="auto"/>
        </w:rPr>
        <w:t>where:</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21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ARTICLE 80. </w:t>
            </w:r>
            <w:r>
              <w:rPr>
                <w:rFonts w:ascii="Times New Roman" w:cs="Times New Roman" w:eastAsia="Times New Roman" w:hAnsi="Times New Roman"/>
                <w:sz w:val="15"/>
                <w:szCs w:val="15"/>
                <w:color w:val="auto"/>
              </w:rPr>
              <w:t>IR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Class A Interest Rate on such day;</w:t>
            </w:r>
          </w:p>
        </w:tc>
      </w:tr>
      <w:tr>
        <w:trPr>
          <w:trHeight w:val="382"/>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ARTICLE 81. </w:t>
            </w:r>
            <w:r>
              <w:rPr>
                <w:rFonts w:ascii="Times New Roman" w:cs="Times New Roman" w:eastAsia="Times New Roman" w:hAnsi="Times New Roman"/>
                <w:sz w:val="15"/>
                <w:szCs w:val="15"/>
                <w:color w:val="auto"/>
              </w:rPr>
              <w:t>P</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principal amount of such Class A Advance on such day; and</w:t>
            </w:r>
          </w:p>
        </w:tc>
      </w:tr>
      <w:tr>
        <w:trPr>
          <w:trHeight w:val="382"/>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ARTICLE 82. </w:t>
            </w:r>
            <w:r>
              <w:rPr>
                <w:rFonts w:ascii="Times New Roman" w:cs="Times New Roman" w:eastAsia="Times New Roman" w:hAnsi="Times New Roman"/>
                <w:sz w:val="15"/>
                <w:szCs w:val="15"/>
                <w:color w:val="auto"/>
              </w:rPr>
              <w:t>D</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360 (or if IR is determined by reference to the Base Rate, 365 or 366, as applicable).</w:t>
            </w:r>
          </w:p>
        </w:tc>
      </w:tr>
    </w:tbl>
    <w:p>
      <w:pPr>
        <w:spacing w:after="0" w:line="15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83.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Interest Rate</w:t>
      </w:r>
      <w:r>
        <w:rPr>
          <w:rFonts w:ascii="Times New Roman" w:cs="Times New Roman" w:eastAsia="Times New Roman" w:hAnsi="Times New Roman"/>
          <w:sz w:val="15"/>
          <w:szCs w:val="15"/>
          <w:color w:val="auto"/>
        </w:rPr>
        <w:t>” means, for any Interest Accrual Period for each Class A Advance outstanding by a Class A Lender for each day during such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Accrual Period:</w:t>
      </w:r>
    </w:p>
    <w:p>
      <w:pPr>
        <w:spacing w:after="0" w:line="142" w:lineRule="exact"/>
        <w:rPr>
          <w:sz w:val="20"/>
          <w:szCs w:val="20"/>
          <w:color w:val="auto"/>
        </w:rPr>
      </w:pPr>
    </w:p>
    <w:p>
      <w:pPr>
        <w:ind w:left="1020"/>
        <w:spacing w:after="0"/>
        <w:tabs>
          <w:tab w:leader="none" w:pos="2340" w:val="left"/>
        </w:tabs>
        <w:rPr>
          <w:sz w:val="20"/>
          <w:szCs w:val="20"/>
          <w:color w:val="auto"/>
        </w:rPr>
      </w:pPr>
      <w:r>
        <w:rPr>
          <w:rFonts w:ascii="Times New Roman" w:cs="Times New Roman" w:eastAsia="Times New Roman" w:hAnsi="Times New Roman"/>
          <w:sz w:val="17"/>
          <w:szCs w:val="17"/>
          <w:color w:val="auto"/>
        </w:rPr>
        <w:t xml:space="preserve">ARTICLE 84. </w:t>
      </w:r>
      <w:r>
        <w:rPr>
          <w:rFonts w:ascii="Times New Roman" w:cs="Times New Roman" w:eastAsia="Times New Roman" w:hAnsi="Times New Roman"/>
          <w:sz w:val="15"/>
          <w:szCs w:val="15"/>
          <w:color w:val="auto"/>
        </w:rPr>
        <w:t>(a)</w:t>
      </w:r>
      <w:r>
        <w:rPr>
          <w:sz w:val="20"/>
          <w:szCs w:val="20"/>
          <w:color w:val="auto"/>
        </w:rPr>
        <w:tab/>
      </w:r>
      <w:r>
        <w:rPr>
          <w:rFonts w:ascii="Times New Roman" w:cs="Times New Roman" w:eastAsia="Times New Roman" w:hAnsi="Times New Roman"/>
          <w:sz w:val="14"/>
          <w:szCs w:val="14"/>
          <w:color w:val="auto"/>
        </w:rPr>
        <w:t>during the Reinvestment Period, a per annum rate equal to the sum of (i) the SOFR Rate, plus (ii) the Class A Margin; or</w:t>
      </w:r>
    </w:p>
    <w:p>
      <w:pPr>
        <w:spacing w:after="0" w:line="186" w:lineRule="exact"/>
        <w:rPr>
          <w:sz w:val="20"/>
          <w:szCs w:val="20"/>
          <w:color w:val="auto"/>
        </w:rPr>
      </w:pPr>
    </w:p>
    <w:p>
      <w:pPr>
        <w:ind w:left="520"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85. </w:t>
      </w:r>
      <w:r>
        <w:rPr>
          <w:rFonts w:ascii="Times New Roman" w:cs="Times New Roman" w:eastAsia="Times New Roman" w:hAnsi="Times New Roman"/>
          <w:sz w:val="15"/>
          <w:szCs w:val="15"/>
          <w:color w:val="auto"/>
        </w:rPr>
        <w:t>(b) on and after the Termination Date, so long as no Event of Default or other Accelerated Amortization Event has occurred and is continuing,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per annum rate equal to the sum of (i) the SOFR Rate, plus (ii) the Class A Margin, plus (iii) 1.00%; or</w:t>
      </w:r>
    </w:p>
    <w:p>
      <w:pPr>
        <w:spacing w:after="0" w:line="113" w:lineRule="exact"/>
        <w:rPr>
          <w:sz w:val="20"/>
          <w:szCs w:val="20"/>
          <w:color w:val="auto"/>
        </w:rPr>
      </w:pPr>
    </w:p>
    <w:p>
      <w:pPr>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86. </w:t>
      </w:r>
      <w:r>
        <w:rPr>
          <w:rFonts w:ascii="Times New Roman" w:cs="Times New Roman" w:eastAsia="Times New Roman" w:hAnsi="Times New Roman"/>
          <w:sz w:val="15"/>
          <w:szCs w:val="15"/>
          <w:color w:val="auto"/>
        </w:rPr>
        <w:t>(c) upon the occurrence and during the continuance of an Accelerated Amortization Event or an Event of Default, a per annum rate equal to the sum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 the then applicable Class A Interest Rate determined pursuant to clause (a) hereof, plus (ii) 2.00%.</w:t>
      </w:r>
    </w:p>
    <w:p>
      <w:pPr>
        <w:spacing w:after="0" w:line="11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87.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Lender</w:t>
      </w:r>
      <w:r>
        <w:rPr>
          <w:rFonts w:ascii="Times New Roman" w:cs="Times New Roman" w:eastAsia="Times New Roman" w:hAnsi="Times New Roman"/>
          <w:sz w:val="15"/>
          <w:szCs w:val="15"/>
          <w:color w:val="auto"/>
        </w:rPr>
        <w:t>” means each Person listed on Schedule 1 hereto as a “Class A Lender” and any other Person that shall have become a party hereto as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 A Lender in accordance with the terms hereof pursuant to an Assignment and Acceptance, other than any such Person that ceases to be a party hereto pursuant to an Assignment and Acceptance.</w:t>
      </w:r>
    </w:p>
    <w:p>
      <w:pPr>
        <w:spacing w:after="0" w:line="13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88.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Loan Principal Balance</w:t>
      </w:r>
      <w:r>
        <w:rPr>
          <w:rFonts w:ascii="Times New Roman" w:cs="Times New Roman" w:eastAsia="Times New Roman" w:hAnsi="Times New Roman"/>
          <w:sz w:val="15"/>
          <w:szCs w:val="15"/>
          <w:color w:val="auto"/>
        </w:rPr>
        <w:t>” means, with respect to a Class A Lender at any time, the sum of the Class A Advance Amounts of all Class A Advances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funded by such Class A Lender at or prior to such time, reduced by all payments of principal made prior to such time on the Class A Advances of such Class A Lender.</w:t>
      </w:r>
    </w:p>
    <w:p>
      <w:pPr>
        <w:spacing w:after="0" w:line="14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89.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Margin</w:t>
      </w:r>
      <w:r>
        <w:rPr>
          <w:rFonts w:ascii="Times New Roman" w:cs="Times New Roman" w:eastAsia="Times New Roman" w:hAnsi="Times New Roman"/>
          <w:sz w:val="15"/>
          <w:szCs w:val="15"/>
          <w:color w:val="auto"/>
        </w:rPr>
        <w:t>” means, for any Interest Accrual Period for each Class A Advance outstanding by a Class A Lender for each day during such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Accrual Period, (i) prior to the closing of any Securitization Transaction with respect to which the Reduced Pricing Test was satisfied, 2.35% or (ii) from and after the closing of any Securitization Transaction with respect to which the Reduced Pricing Test was satisfied, 2.15%.</w:t>
      </w:r>
    </w:p>
    <w:p>
      <w:pPr>
        <w:sectPr>
          <w:pgSz w:w="11900" w:h="16838" w:orient="portrait"/>
          <w:cols w:equalWidth="0" w:num="1">
            <w:col w:w="11280"/>
          </w:cols>
          <w:pgMar w:left="300" w:top="1148" w:right="319" w:bottom="1440" w:gutter="0" w:footer="0" w:header="0"/>
        </w:sectPr>
      </w:pPr>
    </w:p>
    <w:bookmarkStart w:id="213" w:name="page214"/>
    <w:bookmarkEnd w:id="213"/>
    <w:p>
      <w:pPr>
        <w:ind w:left="520"/>
        <w:spacing w:after="0"/>
        <w:rPr>
          <w:sz w:val="20"/>
          <w:szCs w:val="20"/>
          <w:color w:val="auto"/>
        </w:rPr>
      </w:pPr>
      <w:r>
        <w:rPr>
          <w:rFonts w:ascii="Times New Roman" w:cs="Times New Roman" w:eastAsia="Times New Roman" w:hAnsi="Times New Roman"/>
          <w:sz w:val="17"/>
          <w:szCs w:val="17"/>
          <w:color w:val="auto"/>
        </w:rPr>
        <w:t xml:space="preserve">ARTICLE 90.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Maximum Available Amount</w:t>
      </w:r>
      <w:r>
        <w:rPr>
          <w:rFonts w:ascii="Times New Roman" w:cs="Times New Roman" w:eastAsia="Times New Roman" w:hAnsi="Times New Roman"/>
          <w:sz w:val="15"/>
          <w:szCs w:val="15"/>
          <w:color w:val="auto"/>
        </w:rPr>
        <w:t>” means, at any time, the lesser of (a) the Class A Committed Amount; and (b) the Class A Borrowing Base at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w:t>
      </w:r>
    </w:p>
    <w:p>
      <w:pPr>
        <w:spacing w:after="0" w:line="159"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91.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Minimum Utilization Amount</w:t>
      </w:r>
      <w:r>
        <w:rPr>
          <w:rFonts w:ascii="Times New Roman" w:cs="Times New Roman" w:eastAsia="Times New Roman" w:hAnsi="Times New Roman"/>
          <w:sz w:val="15"/>
          <w:szCs w:val="15"/>
          <w:color w:val="auto"/>
        </w:rPr>
        <w:t>” means, on any date of determination during any Class A Minimum Utilization Period, an amount equal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product of (A) forty percent (40.00%), and (B) the Class A Committed Amount on such date.</w:t>
      </w:r>
    </w:p>
    <w:p>
      <w:pPr>
        <w:spacing w:after="0" w:line="11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92.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Minimum Utilization Fees</w:t>
      </w:r>
      <w:r>
        <w:rPr>
          <w:rFonts w:ascii="Times New Roman" w:cs="Times New Roman" w:eastAsia="Times New Roman" w:hAnsi="Times New Roman"/>
          <w:sz w:val="15"/>
          <w:szCs w:val="15"/>
          <w:color w:val="auto"/>
        </w:rPr>
        <w:t>” means an amount, for any Class A Minimum Utilization Period, equal to the product of (x) the Class A Utilization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Shortfall Amount for such Class A Minimum Utilization Period, (y) the Class A Margin less the Class A Unused Fee and (z) a fraction, the numerator of which is equal to the actual number of days in such Class A Minimum Utilization Period and the denominator of which is 360.</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93.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Minimum Utilization Period</w:t>
      </w:r>
      <w:r>
        <w:rPr>
          <w:rFonts w:ascii="Times New Roman" w:cs="Times New Roman" w:eastAsia="Times New Roman" w:hAnsi="Times New Roman"/>
          <w:sz w:val="15"/>
          <w:szCs w:val="15"/>
          <w:color w:val="auto"/>
        </w:rPr>
        <w:t>” means (a) initially, the period commencing on the Closing Date and ending on (and including) the earlier to occur of</w:t>
      </w:r>
    </w:p>
    <w:p>
      <w:pPr>
        <w:spacing w:after="0" w:line="24" w:lineRule="exact"/>
        <w:rPr>
          <w:sz w:val="20"/>
          <w:szCs w:val="20"/>
          <w:color w:val="auto"/>
        </w:rPr>
      </w:pPr>
    </w:p>
    <w:p>
      <w:pPr>
        <w:jc w:val="both"/>
        <w:ind w:firstLine="5"/>
        <w:spacing w:after="0" w:line="244" w:lineRule="auto"/>
        <w:tabs>
          <w:tab w:leader="none" w:pos="22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twelfth (12th) Collection Period after the Closing Date and (y) the date on which all Class A Obligations are paid in full (other than unmatured indemnification obligations), and (b) thereafter, each successive period commencing on (and excluding) the last day of the immediately preceding Class A Minimum Utilization Period and ending on (and excluding) the earlier to occur of (i) the six (6) month anniversary of such commencement and (ii) the Termination Date.</w:t>
      </w:r>
    </w:p>
    <w:p>
      <w:pPr>
        <w:spacing w:after="0" w:line="16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94.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Obligations</w:t>
      </w:r>
      <w:r>
        <w:rPr>
          <w:rFonts w:ascii="Times New Roman" w:cs="Times New Roman" w:eastAsia="Times New Roman" w:hAnsi="Times New Roman"/>
          <w:sz w:val="15"/>
          <w:szCs w:val="15"/>
          <w:color w:val="auto"/>
        </w:rPr>
        <w:t>” means all indebtedness, liabilities and obligations, whether absolute, fixed or contingent, at any time or from time to time owing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the Borrower to the Class A Lenders or the Administrative Agent under or in connection with this Agreement or any other Facility Document, including, but not limited to, all amounts payable by the Borrower in respect of the Class A Advances, with interest thereon, Class A Prepayment Premiums, Class A Exit Fees, Class A Minimum Utilization Fees, Class A Unused Fees and all other amounts payable hereunder in respect of any Class A Advance;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xml:space="preserve"> solely for purposes of Section 2.14 hereof, the Class A Obligations shall not include Class A Prepayment Premiums, Class A Exit Fees, Class A Minimum Utilization Fees or Class A Unused Fees.</w:t>
      </w:r>
    </w:p>
    <w:p>
      <w:pPr>
        <w:spacing w:after="0" w:line="151"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95.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Percentage</w:t>
      </w:r>
      <w:r>
        <w:rPr>
          <w:rFonts w:ascii="Times New Roman" w:cs="Times New Roman" w:eastAsia="Times New Roman" w:hAnsi="Times New Roman"/>
          <w:sz w:val="15"/>
          <w:szCs w:val="15"/>
          <w:color w:val="auto"/>
        </w:rPr>
        <w:t>” means, (A) initially, (i) with respect to any Class A Lender party hereto on the date hereof, the percentage set forth opposite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 A Lender’s name on Schedule 1 hereto and (ii) with respect to a Class A Lender that has become a party hereto pursuant to an Assignment and Acceptance, the percentage set forth therein as such Class A Lender’s Percentage and (B) at any other time with respect to any Class A Lender, a fraction (expressed as a percentage), the numerator of which is the Class A Loan Principal Balance of such Class A Lender at such time, and the denominator of which is the Class A Aggregate Loan Principal Balance at such time.</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ARTICLE 96.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Prepayment Premium</w:t>
      </w:r>
      <w:r>
        <w:rPr>
          <w:rFonts w:ascii="Times New Roman" w:cs="Times New Roman" w:eastAsia="Times New Roman" w:hAnsi="Times New Roman"/>
          <w:sz w:val="15"/>
          <w:szCs w:val="15"/>
          <w:color w:val="auto"/>
        </w:rPr>
        <w:t>” has the meaning specified in Section 2.06.</w:t>
      </w:r>
    </w:p>
    <w:p>
      <w:pPr>
        <w:spacing w:after="0" w:line="176"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97.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Regular Principal Distribution Amount</w:t>
      </w:r>
      <w:r>
        <w:rPr>
          <w:rFonts w:ascii="Times New Roman" w:cs="Times New Roman" w:eastAsia="Times New Roman" w:hAnsi="Times New Roman"/>
          <w:sz w:val="15"/>
          <w:szCs w:val="15"/>
          <w:color w:val="auto"/>
        </w:rPr>
        <w:t>” means, on any Payment Date, an amount equal to the lesser of (i) the amount, if any, by which the Class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 Aggregate Loan Principal Balance must be reduced on such Payment Date such that no Class A Borrowing Base Deficiency exists after giving effect to such reduction and (ii) the amount then on deposit in the Dollar Collection Account available to be distributed pursuant to Section 9.01(b)(iv) on such Payment Date.</w:t>
      </w:r>
    </w:p>
    <w:p>
      <w:pPr>
        <w:sectPr>
          <w:pgSz w:w="11900" w:h="16838" w:orient="portrait"/>
          <w:cols w:equalWidth="0" w:num="1">
            <w:col w:w="11280"/>
          </w:cols>
          <w:pgMar w:left="300" w:top="1148" w:right="319" w:bottom="1440" w:gutter="0" w:footer="0" w:header="0"/>
        </w:sectPr>
      </w:pPr>
    </w:p>
    <w:bookmarkStart w:id="214" w:name="page215"/>
    <w:bookmarkEnd w:id="214"/>
    <w:p>
      <w:pPr>
        <w:ind w:left="520"/>
        <w:spacing w:after="0"/>
        <w:rPr>
          <w:sz w:val="20"/>
          <w:szCs w:val="20"/>
          <w:color w:val="auto"/>
        </w:rPr>
      </w:pPr>
      <w:r>
        <w:rPr>
          <w:rFonts w:ascii="Times New Roman" w:cs="Times New Roman" w:eastAsia="Times New Roman" w:hAnsi="Times New Roman"/>
          <w:sz w:val="17"/>
          <w:szCs w:val="17"/>
          <w:color w:val="auto"/>
        </w:rPr>
        <w:t xml:space="preserve">ARTICLE 98.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Unused Fee Rate</w:t>
      </w:r>
      <w:r>
        <w:rPr>
          <w:rFonts w:ascii="Times New Roman" w:cs="Times New Roman" w:eastAsia="Times New Roman" w:hAnsi="Times New Roman"/>
          <w:sz w:val="15"/>
          <w:szCs w:val="15"/>
          <w:color w:val="auto"/>
        </w:rPr>
        <w:t>” means 0.50% per annum.</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99.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Unused Fees</w:t>
      </w:r>
      <w:r>
        <w:rPr>
          <w:rFonts w:ascii="Times New Roman" w:cs="Times New Roman" w:eastAsia="Times New Roman" w:hAnsi="Times New Roman"/>
          <w:sz w:val="15"/>
          <w:szCs w:val="15"/>
          <w:color w:val="auto"/>
        </w:rPr>
        <w:t>” means, with respect to each day during each Collection Period during the Reinvestment Period, but after the Fee Ramp-Up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product of (i) the applicable Class A Unused Fee Rate, (ii) the excess of (A) the amount of the Class A Committed Amount on such day over (B) the Class A Aggregate Loan Principal Balance on such day and (iii) 1/360.</w:t>
      </w:r>
    </w:p>
    <w:p>
      <w:pPr>
        <w:spacing w:after="0" w:line="13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100.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A Upfront Fee</w:t>
      </w:r>
      <w:r>
        <w:rPr>
          <w:rFonts w:ascii="Times New Roman" w:cs="Times New Roman" w:eastAsia="Times New Roman" w:hAnsi="Times New Roman"/>
          <w:sz w:val="14"/>
          <w:szCs w:val="14"/>
          <w:color w:val="auto"/>
        </w:rPr>
        <w:t>” has the meaning specified in the Class A Fee Letter.</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101.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A Utilization Shortfall Amount</w:t>
      </w:r>
      <w:r>
        <w:rPr>
          <w:rFonts w:ascii="Times New Roman" w:cs="Times New Roman" w:eastAsia="Times New Roman" w:hAnsi="Times New Roman"/>
          <w:sz w:val="15"/>
          <w:szCs w:val="15"/>
          <w:color w:val="auto"/>
        </w:rPr>
        <w:t>” means an amount, for any Class A Minimum Utilization Period, equal to the excess, if any, of (1)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average daily Class A Minimum Utilization Amount during such Class A Minimum Utilization Period, over (2) the average daily Class A Aggregate Loan Principal Balance during such Class A Minimum Utilization Period.</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102.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B Advance</w:t>
      </w:r>
      <w:r>
        <w:rPr>
          <w:rFonts w:ascii="Times New Roman" w:cs="Times New Roman" w:eastAsia="Times New Roman" w:hAnsi="Times New Roman"/>
          <w:sz w:val="14"/>
          <w:szCs w:val="14"/>
          <w:color w:val="auto"/>
        </w:rPr>
        <w:t>” means an Advance funded by a Class B Lender hereunder.</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103.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Advance Amount</w:t>
      </w:r>
      <w:r>
        <w:rPr>
          <w:rFonts w:ascii="Times New Roman" w:cs="Times New Roman" w:eastAsia="Times New Roman" w:hAnsi="Times New Roman"/>
          <w:sz w:val="15"/>
          <w:szCs w:val="15"/>
          <w:color w:val="auto"/>
        </w:rPr>
        <w:t>” means, with respect to a Class B Advance, the initial principal amount of such Class B Advance funded by the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Lenders on the Borrowing Date of such Class B Advance.</w:t>
      </w:r>
    </w:p>
    <w:p>
      <w:pPr>
        <w:spacing w:after="0" w:line="12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104.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Aggregate Loan Principal Balance</w:t>
      </w:r>
      <w:r>
        <w:rPr>
          <w:rFonts w:ascii="Times New Roman" w:cs="Times New Roman" w:eastAsia="Times New Roman" w:hAnsi="Times New Roman"/>
          <w:sz w:val="15"/>
          <w:szCs w:val="15"/>
          <w:color w:val="auto"/>
        </w:rPr>
        <w:t>” means, at any time, the sum of the Class B Advance Amounts of all Class B Advances funded by 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 B Lenders at or prior to such time, reduced by all payments of principal made prior to such time on the Class B Advances.</w:t>
      </w:r>
    </w:p>
    <w:p>
      <w:pPr>
        <w:spacing w:after="0" w:line="13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105.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Borrowing Base</w:t>
      </w:r>
      <w:r>
        <w:rPr>
          <w:rFonts w:ascii="Times New Roman" w:cs="Times New Roman" w:eastAsia="Times New Roman" w:hAnsi="Times New Roman"/>
          <w:sz w:val="15"/>
          <w:szCs w:val="15"/>
          <w:color w:val="auto"/>
        </w:rPr>
        <w:t>” means, as of any date of determination, an amount equal to (I) the product of (a) the WA Class B Advance Rate on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date and (b) an amount equal to (i) the Dollar Equivalent of the Aggregate Eligible Receivable Balance on such date, minus (ii) the Excess Concentration Amount on such date plus</w:t>
      </w:r>
    </w:p>
    <w:p>
      <w:pPr>
        <w:jc w:val="both"/>
        <w:ind w:firstLine="5"/>
        <w:spacing w:after="0" w:line="299" w:lineRule="auto"/>
        <w:tabs>
          <w:tab w:leader="none" w:pos="27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Equivalent of all cash in the Collection Accounts, minus (II) the Class A Aggregate Loan Principal Balance (after giving effect to any payments or distributions on such date). For purposes hereof, the Receivable Balance with respect to a Receivable purchased by the Borrower from the Seller at a discount that is included in the computation of the Aggregate Eligible Receivable Balance from time to time shall be the Dollar Equivalent of the outstanding principal balance of such Receivable giving effect to such discount.</w:t>
      </w:r>
    </w:p>
    <w:p>
      <w:pPr>
        <w:spacing w:after="0" w:line="12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106.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Borrowing Base Deficiency</w:t>
      </w:r>
      <w:r>
        <w:rPr>
          <w:rFonts w:ascii="Times New Roman" w:cs="Times New Roman" w:eastAsia="Times New Roman" w:hAnsi="Times New Roman"/>
          <w:sz w:val="15"/>
          <w:szCs w:val="15"/>
          <w:color w:val="auto"/>
        </w:rPr>
        <w:t>” means, as of any date of determination, the excess, if any, of (a) the Class B Aggregate Loan Principal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Balance on such date (before giving effect to any payments or distributions to be made on such date in reduction of the Class B Aggregate Loan Principal Balance on such date) over (b) the Class B Borrowing Base on such date.</w:t>
      </w:r>
    </w:p>
    <w:p>
      <w:pPr>
        <w:spacing w:after="0" w:line="13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107.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B Committed Amount</w:t>
      </w:r>
      <w:r>
        <w:rPr>
          <w:rFonts w:ascii="Times New Roman" w:cs="Times New Roman" w:eastAsia="Times New Roman" w:hAnsi="Times New Roman"/>
          <w:sz w:val="14"/>
          <w:szCs w:val="14"/>
          <w:color w:val="auto"/>
        </w:rPr>
        <w:t>” means $36,096,000.</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108.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B Draw Fee</w:t>
      </w:r>
      <w:r>
        <w:rPr>
          <w:rFonts w:ascii="Times New Roman" w:cs="Times New Roman" w:eastAsia="Times New Roman" w:hAnsi="Times New Roman"/>
          <w:sz w:val="14"/>
          <w:szCs w:val="14"/>
          <w:color w:val="auto"/>
        </w:rPr>
        <w:t>” has the meaning specified in the Class B Fee Letter.</w:t>
      </w:r>
    </w:p>
    <w:p>
      <w:pPr>
        <w:spacing w:after="0" w:line="18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ARTICLE 109.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Fee Letter</w:t>
      </w:r>
      <w:r>
        <w:rPr>
          <w:rFonts w:ascii="Times New Roman" w:cs="Times New Roman" w:eastAsia="Times New Roman" w:hAnsi="Times New Roman"/>
          <w:sz w:val="15"/>
          <w:szCs w:val="15"/>
          <w:color w:val="auto"/>
        </w:rPr>
        <w:t>” means the Class B Fee Letter dated as of the Closing Date, by and among, the Borrower, Navan and the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Representative.</w:t>
      </w:r>
    </w:p>
    <w:p>
      <w:pPr>
        <w:sectPr>
          <w:pgSz w:w="11900" w:h="16838" w:orient="portrait"/>
          <w:cols w:equalWidth="0" w:num="1">
            <w:col w:w="11280"/>
          </w:cols>
          <w:pgMar w:left="300" w:top="1148" w:right="319" w:bottom="1440" w:gutter="0" w:footer="0" w:header="0"/>
        </w:sectPr>
      </w:pPr>
    </w:p>
    <w:bookmarkStart w:id="215" w:name="page216"/>
    <w:bookmarkEnd w:id="215"/>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Interest</w:t>
      </w:r>
      <w:r>
        <w:rPr>
          <w:rFonts w:ascii="Times New Roman" w:cs="Times New Roman" w:eastAsia="Times New Roman" w:hAnsi="Times New Roman"/>
          <w:sz w:val="15"/>
          <w:szCs w:val="15"/>
          <w:color w:val="auto"/>
        </w:rPr>
        <w:t>” means, for each day during an Interest Accrual Period and each outstanding Class B Advance on such day, the sum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products (for each day during such Interest Accrual Period) of:</w:t>
      </w:r>
    </w:p>
    <w:p>
      <w:pPr>
        <w:spacing w:after="0" w:line="113" w:lineRule="exact"/>
        <w:rPr>
          <w:sz w:val="20"/>
          <w:szCs w:val="20"/>
          <w:color w:val="auto"/>
        </w:rPr>
      </w:pPr>
    </w:p>
    <w:tbl>
      <w:tblPr>
        <w:tblLayout w:type="fixed"/>
        <w:tblInd w:w="1020" w:type="dxa"/>
        <w:tblCellMar>
          <w:top w:w="0" w:type="dxa"/>
          <w:left w:w="0" w:type="dxa"/>
          <w:bottom w:w="0" w:type="dxa"/>
          <w:right w:w="0" w:type="dxa"/>
        </w:tblCellMar>
      </w:tblP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111.</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IR x P x 1/D</w:t>
            </w:r>
          </w:p>
        </w:tc>
      </w:tr>
      <w:tr>
        <w:trPr>
          <w:trHeight w:val="382"/>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112.</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where:</w:t>
            </w:r>
          </w:p>
        </w:tc>
        <w:tc>
          <w:tcPr>
            <w:tcW w:w="5320" w:type="dxa"/>
            <w:vAlign w:val="bottom"/>
          </w:tcPr>
          <w:p>
            <w:pPr>
              <w:spacing w:after="0"/>
              <w:rPr>
                <w:sz w:val="24"/>
                <w:szCs w:val="24"/>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113.</w:t>
            </w: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IR</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Class B Interest Rate on such day;</w:t>
            </w:r>
          </w:p>
        </w:tc>
      </w:tr>
      <w:tr>
        <w:trPr>
          <w:trHeight w:val="382"/>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114.</w:t>
            </w: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principal amount of such Class B Advance on such day; and</w:t>
            </w:r>
          </w:p>
        </w:tc>
      </w:tr>
      <w:tr>
        <w:trPr>
          <w:trHeight w:val="382"/>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115.</w:t>
            </w: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3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360 (or if IR is determined by reference to the Base Rate, 365 or 366, as applicable).</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116.</w:t>
            </w:r>
          </w:p>
        </w:tc>
        <w:tc>
          <w:tcPr>
            <w:tcW w:w="95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16"/>
                <w:szCs w:val="16"/>
                <w:i w:val="1"/>
                <w:iCs w:val="1"/>
                <w:color w:val="auto"/>
                <w:w w:val="97"/>
              </w:rPr>
              <w:t>Class B Interest Rate</w:t>
            </w:r>
            <w:r>
              <w:rPr>
                <w:rFonts w:ascii="Times New Roman" w:cs="Times New Roman" w:eastAsia="Times New Roman" w:hAnsi="Times New Roman"/>
                <w:sz w:val="16"/>
                <w:szCs w:val="16"/>
                <w:color w:val="auto"/>
                <w:w w:val="97"/>
              </w:rPr>
              <w:t>” means, for any Interest Accrual Period for each Class B Advance outstanding by a Class B Lender for each day during such</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Interest Accrual Period:</w:t>
            </w:r>
          </w:p>
        </w:tc>
        <w:tc>
          <w:tcPr>
            <w:tcW w:w="9500" w:type="dxa"/>
            <w:vAlign w:val="bottom"/>
          </w:tcPr>
          <w:p>
            <w:pPr>
              <w:spacing w:after="0"/>
              <w:rPr>
                <w:sz w:val="17"/>
                <w:szCs w:val="17"/>
                <w:color w:val="auto"/>
              </w:rPr>
            </w:pPr>
          </w:p>
        </w:tc>
      </w:tr>
      <w:tr>
        <w:trPr>
          <w:trHeight w:val="375"/>
        </w:trPr>
        <w:tc>
          <w:tcPr>
            <w:tcW w:w="1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117.</w:t>
            </w:r>
          </w:p>
        </w:tc>
        <w:tc>
          <w:tcPr>
            <w:tcW w:w="9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  during the Reinvestment Period, a per annum rate equal to the sum of (i) the SOFR Rate, plus (ii) the Class B Margin; or</w:t>
            </w:r>
          </w:p>
        </w:tc>
      </w:tr>
      <w:tr>
        <w:trPr>
          <w:trHeight w:val="366"/>
        </w:trPr>
        <w:tc>
          <w:tcPr>
            <w:tcW w:w="1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118.</w:t>
            </w:r>
          </w:p>
        </w:tc>
        <w:tc>
          <w:tcPr>
            <w:tcW w:w="95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(b)   on and after the Termination Date, so long as no Event of Default or other Accelerated Amortization Event has occurred and is continuing, a</w:t>
            </w:r>
          </w:p>
        </w:tc>
      </w:tr>
      <w:tr>
        <w:trPr>
          <w:trHeight w:val="203"/>
        </w:trPr>
        <w:tc>
          <w:tcPr>
            <w:tcW w:w="1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 annum rate equal to the sum of (i) the SOFR Rate, plus (ii) the Class B Margin, plus (iii) 1.00%; or</w:t>
            </w:r>
          </w:p>
        </w:tc>
      </w:tr>
      <w:tr>
        <w:trPr>
          <w:trHeight w:val="375"/>
        </w:trPr>
        <w:tc>
          <w:tcPr>
            <w:tcW w:w="1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119.</w:t>
            </w:r>
          </w:p>
        </w:tc>
        <w:tc>
          <w:tcPr>
            <w:tcW w:w="95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(c)  upon the occurrence and during the continuance of an Event of Default or other Accelerated Amortization Event, a per annum rate equal to the</w:t>
            </w:r>
          </w:p>
        </w:tc>
      </w:tr>
    </w:tbl>
    <w:p>
      <w:pPr>
        <w:spacing w:after="0"/>
        <w:rPr>
          <w:sz w:val="20"/>
          <w:szCs w:val="20"/>
          <w:color w:val="auto"/>
        </w:rPr>
      </w:pPr>
      <w:r>
        <w:rPr>
          <w:rFonts w:ascii="Times New Roman" w:cs="Times New Roman" w:eastAsia="Times New Roman" w:hAnsi="Times New Roman"/>
          <w:sz w:val="16"/>
          <w:szCs w:val="16"/>
          <w:color w:val="auto"/>
        </w:rPr>
        <w:t>sum of (i) the then applicable Class B Interest Rate determined pursuant to clause (a) hereof, plus (ii) 2.00%.</w:t>
      </w:r>
    </w:p>
    <w:p>
      <w:pPr>
        <w:spacing w:after="0" w:line="159"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120.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Lender</w:t>
      </w:r>
      <w:r>
        <w:rPr>
          <w:rFonts w:ascii="Times New Roman" w:cs="Times New Roman" w:eastAsia="Times New Roman" w:hAnsi="Times New Roman"/>
          <w:sz w:val="15"/>
          <w:szCs w:val="15"/>
          <w:color w:val="auto"/>
        </w:rPr>
        <w:t>” means each Person listed on Schedule 1 hereto as a “Class B Lender” and any other Person that shall have become a party hereto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 a Class B Lender in accordance with the terms hereof pursuant to an Assignment and Acceptance, other than any such Person that ceases to be a party hereto pursuant to an Assignment and Acceptance.</w:t>
      </w:r>
    </w:p>
    <w:p>
      <w:pPr>
        <w:spacing w:after="0" w:line="130"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121.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Loan Principal Balance</w:t>
      </w:r>
      <w:r>
        <w:rPr>
          <w:rFonts w:ascii="Times New Roman" w:cs="Times New Roman" w:eastAsia="Times New Roman" w:hAnsi="Times New Roman"/>
          <w:sz w:val="15"/>
          <w:szCs w:val="15"/>
          <w:color w:val="auto"/>
        </w:rPr>
        <w:t>” means, with respect to a Class B Lender at any time, the sum of the Class B Advance Amounts of all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Advances funded by such Class B Lender at or prior to such time, reduced by all payments of principal made prior to such time on the Class B Advances of such Class B Lender.</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122.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Margin</w:t>
      </w:r>
      <w:r>
        <w:rPr>
          <w:rFonts w:ascii="Times New Roman" w:cs="Times New Roman" w:eastAsia="Times New Roman" w:hAnsi="Times New Roman"/>
          <w:sz w:val="15"/>
          <w:szCs w:val="15"/>
          <w:color w:val="auto"/>
        </w:rPr>
        <w:t>” means, for any Interest Accrual Period for each Class B Advance outstanding by a Class B Lender for each day during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Interest Accrual Period, 9.00%.</w:t>
      </w:r>
    </w:p>
    <w:p>
      <w:pPr>
        <w:spacing w:after="0" w:line="11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 xml:space="preserve">ARTICLE 123.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Maximum Available Amount</w:t>
      </w:r>
      <w:r>
        <w:rPr>
          <w:rFonts w:ascii="Times New Roman" w:cs="Times New Roman" w:eastAsia="Times New Roman" w:hAnsi="Times New Roman"/>
          <w:sz w:val="15"/>
          <w:szCs w:val="15"/>
          <w:color w:val="auto"/>
        </w:rPr>
        <w:t>” means, at any time, the lesser of (a) the Class B Committed Amount; and (b) the Class B Borrowing Base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such time.</w:t>
      </w:r>
    </w:p>
    <w:p>
      <w:pPr>
        <w:sectPr>
          <w:pgSz w:w="11900" w:h="16838" w:orient="portrait"/>
          <w:cols w:equalWidth="0" w:num="1">
            <w:col w:w="11280"/>
          </w:cols>
          <w:pgMar w:left="300" w:top="1148" w:right="319" w:bottom="1440" w:gutter="0" w:footer="0" w:header="0"/>
        </w:sectPr>
      </w:pPr>
    </w:p>
    <w:bookmarkStart w:id="216" w:name="page217"/>
    <w:bookmarkEnd w:id="216"/>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124.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Minimum Utilization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means, for any date of determination during any Class B Minimum Utilization Period, an amount equal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product of (A) forty percent (40.00%), and (B) the Class B Committed Amount on such date.</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125.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Minimum Utilization Fees</w:t>
      </w:r>
      <w:r>
        <w:rPr>
          <w:rFonts w:ascii="Times New Roman" w:cs="Times New Roman" w:eastAsia="Times New Roman" w:hAnsi="Times New Roman"/>
          <w:sz w:val="15"/>
          <w:szCs w:val="15"/>
          <w:color w:val="auto"/>
        </w:rPr>
        <w:t>” means an amount, for any Class B Minimum Utilization Period, equal to the product of (x) the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Utilization Shortfall Amount for such Class B Minimum Utilization Period, (y) the Class B Margin less the Class B Unused Fee Rate and (z) a fraction, the numerator of which is equal to the actual number of days in such Class B Minimum Utilization Period and the denominator of which is 360.</w:t>
      </w:r>
    </w:p>
    <w:p>
      <w:pPr>
        <w:spacing w:after="0" w:line="14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126.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Minimum Utilization Period</w:t>
      </w:r>
      <w:r>
        <w:rPr>
          <w:rFonts w:ascii="Times New Roman" w:cs="Times New Roman" w:eastAsia="Times New Roman" w:hAnsi="Times New Roman"/>
          <w:sz w:val="15"/>
          <w:szCs w:val="15"/>
          <w:color w:val="auto"/>
        </w:rPr>
        <w:t>” means (a) initially, the period commencing on the Closing Date and ending on (and including) the earlier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occur of (x) the last day of the twelfth (12th) Collection Period after the Closing Date and (y) the date on which all Class B Obligations are paid in full (other than unmatured indemnification obligations), and (b) thereafter, each successive period commencing on (and excluding) the last day of the immediately preceding Class B Minimum Utilization Period and ending on (and excluding) the earlier to occur of (i) the six (6) month anniversary of such commencement and (ii) the Termination Date.</w:t>
      </w:r>
    </w:p>
    <w:p>
      <w:pPr>
        <w:spacing w:after="0" w:line="13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7"/>
          <w:szCs w:val="17"/>
          <w:color w:val="auto"/>
        </w:rPr>
        <w:t xml:space="preserve">ARTICLE 127.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Obligations</w:t>
      </w:r>
      <w:r>
        <w:rPr>
          <w:rFonts w:ascii="Times New Roman" w:cs="Times New Roman" w:eastAsia="Times New Roman" w:hAnsi="Times New Roman"/>
          <w:sz w:val="15"/>
          <w:szCs w:val="15"/>
          <w:color w:val="auto"/>
        </w:rPr>
        <w:t>” means all indebtedness, liabilities and obligations, whether absolute, fixed or contingent, at any time or from time to 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owing by the Borrower to the Class B Lenders under or in connection with this Agreement or any other Facility Document, including, but not limited to, all amounts payable by the Borrower in respect of the Class B Advances, with interest thereon, Class B Prepayment Premiums, Class B Minimum Utilization Fees, Class B Unused Fees and all other amounts payable hereunder in respect of any Class B Advance;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xml:space="preserve"> solely for purposes of Section 2.14 hereof, the Class B Obligations shall not include Class B Prepayment Premiums, Class B Minimum Utilization Fees or Class B Unused Fees.</w:t>
      </w:r>
    </w:p>
    <w:p>
      <w:pPr>
        <w:spacing w:after="0" w:line="14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128.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Percentage</w:t>
      </w:r>
      <w:r>
        <w:rPr>
          <w:rFonts w:ascii="Times New Roman" w:cs="Times New Roman" w:eastAsia="Times New Roman" w:hAnsi="Times New Roman"/>
          <w:sz w:val="15"/>
          <w:szCs w:val="15"/>
          <w:color w:val="auto"/>
        </w:rPr>
        <w:t>” means, (A) initially, (i) with respect to any Class B Lender party hereto on the date hereof, the percentage set forth opposite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such Class B Lender’s name on Schedule 1 hereto and (ii) with respect to a Class B Lender that has become a party hereto pursuant to an Assignment and Acceptance, the percentage set forth therein as such Class B Lender’s Percentage and (B) at any other time with respect to any Class B Lender, a fraction (expressed as a percentage), the numerator of which is the Class B Loan Principal Balance of such Class B Lender at such time, and the denominator of which is the Class B Aggregate Loan Principal Balance at such time.</w:t>
      </w:r>
    </w:p>
    <w:p>
      <w:pPr>
        <w:spacing w:after="0" w:line="148"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129.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B Prepayment Premium</w:t>
      </w:r>
      <w:r>
        <w:rPr>
          <w:rFonts w:ascii="Times New Roman" w:cs="Times New Roman" w:eastAsia="Times New Roman" w:hAnsi="Times New Roman"/>
          <w:sz w:val="14"/>
          <w:szCs w:val="14"/>
          <w:color w:val="auto"/>
        </w:rPr>
        <w:t>” has the meaning specified in Section 2.06.</w:t>
      </w:r>
    </w:p>
    <w:p>
      <w:pPr>
        <w:spacing w:after="0" w:line="17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130.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Regular Principal Distribution Amount</w:t>
      </w:r>
      <w:r>
        <w:rPr>
          <w:rFonts w:ascii="Times New Roman" w:cs="Times New Roman" w:eastAsia="Times New Roman" w:hAnsi="Times New Roman"/>
          <w:sz w:val="15"/>
          <w:szCs w:val="15"/>
          <w:color w:val="auto"/>
        </w:rPr>
        <w:t>” means, on any Payment Date, an amount equal to the lesser of (i) the amount, if any, by which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 B Aggregate Loan Principal Balance must be reduced on such Payment Date such that no Class B Borrowing Base Deficiency exists after giving effect to such reduction and (ii) the amount then on deposit in the Dollar Collection Account available to be distributed pursuant to Section 9.01(b)(vi) on such Payment Date.</w:t>
      </w:r>
    </w:p>
    <w:p>
      <w:pPr>
        <w:sectPr>
          <w:pgSz w:w="11900" w:h="16838" w:orient="portrait"/>
          <w:cols w:equalWidth="0" w:num="1">
            <w:col w:w="11280"/>
          </w:cols>
          <w:pgMar w:left="300" w:top="1148" w:right="319" w:bottom="1440" w:gutter="0" w:footer="0" w:header="0"/>
        </w:sectPr>
      </w:pPr>
    </w:p>
    <w:bookmarkStart w:id="217" w:name="page218"/>
    <w:bookmarkEnd w:id="217"/>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131.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Representative</w:t>
      </w:r>
      <w:r>
        <w:rPr>
          <w:rFonts w:ascii="Times New Roman" w:cs="Times New Roman" w:eastAsia="Times New Roman" w:hAnsi="Times New Roman"/>
          <w:sz w:val="15"/>
          <w:szCs w:val="15"/>
          <w:color w:val="auto"/>
        </w:rPr>
        <w:t>” means Powerscourt Investments 37, LP or a successor thereto (which shall be an Affiliate of a Class B Lender) selected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 majority of the Class B Lenders and notified in writing to the Borrower and the Administrative Agent.</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132.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B Unused Fee Rate</w:t>
      </w:r>
      <w:r>
        <w:rPr>
          <w:rFonts w:ascii="Times New Roman" w:cs="Times New Roman" w:eastAsia="Times New Roman" w:hAnsi="Times New Roman"/>
          <w:sz w:val="14"/>
          <w:szCs w:val="14"/>
          <w:color w:val="auto"/>
        </w:rPr>
        <w:t>” means 0.50%.</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133.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Unused Fees</w:t>
      </w:r>
      <w:r>
        <w:rPr>
          <w:rFonts w:ascii="Times New Roman" w:cs="Times New Roman" w:eastAsia="Times New Roman" w:hAnsi="Times New Roman"/>
          <w:sz w:val="15"/>
          <w:szCs w:val="15"/>
          <w:color w:val="auto"/>
        </w:rPr>
        <w:t>” means, with respect to each day during each Collection Period during the Reinvestment Period, but after the Fee Ramp-Up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Period, the product of (i) the applicable Class B Unused Fee Rate, (ii) the excess of (A) the amount of the Class B Committed Amount on such day over (B) the Class B Aggregate Loan Principal Balance on such day and (iii) 1/360.</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134.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Class B Upfront Fee</w:t>
      </w:r>
      <w:r>
        <w:rPr>
          <w:rFonts w:ascii="Times New Roman" w:cs="Times New Roman" w:eastAsia="Times New Roman" w:hAnsi="Times New Roman"/>
          <w:sz w:val="14"/>
          <w:szCs w:val="14"/>
          <w:color w:val="auto"/>
        </w:rPr>
        <w:t>” has the meaning specified in the Class B Fee Letter.</w:t>
      </w:r>
    </w:p>
    <w:p>
      <w:pPr>
        <w:spacing w:after="0" w:line="17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135.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B Utilization Shortfall Amount</w:t>
      </w:r>
      <w:r>
        <w:rPr>
          <w:rFonts w:ascii="Times New Roman" w:cs="Times New Roman" w:eastAsia="Times New Roman" w:hAnsi="Times New Roman"/>
          <w:sz w:val="15"/>
          <w:szCs w:val="15"/>
          <w:color w:val="auto"/>
        </w:rPr>
        <w:t>” means an amount, for any Class B Minimum Utilization Period, equal to the excess, if any, of (1)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average daily Class B Minimum Utilization Amount during such Class B Minimum Utilization Period, over (2) the average daily Class B Aggregate Loan Principal Balance during such Class B Minimum Utilization Period.</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Class Percentage</w:t>
      </w:r>
      <w:r>
        <w:rPr>
          <w:rFonts w:ascii="Times New Roman" w:cs="Times New Roman" w:eastAsia="Times New Roman" w:hAnsi="Times New Roman"/>
          <w:sz w:val="15"/>
          <w:szCs w:val="15"/>
          <w:color w:val="auto"/>
        </w:rPr>
        <w:t>” means, for any Class on any date of determination, the percentage equivalent of (i) the Class A Aggregate Loan Principal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Balance or Class B Aggregate Loan Principal Balance on such date, as applicable, divided by (ii) the Aggregate Loan Principal Balance on such date, in each case, before giving effect to any payments or distributions of principal in respect of the Advances on such date.</w:t>
      </w:r>
    </w:p>
    <w:p>
      <w:pPr>
        <w:spacing w:after="0" w:line="14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ARTICLE 137. </w:t>
      </w:r>
      <w:r>
        <w:rPr>
          <w:rFonts w:ascii="Times New Roman" w:cs="Times New Roman" w:eastAsia="Times New Roman" w:hAnsi="Times New Roman"/>
          <w:sz w:val="15"/>
          <w:szCs w:val="15"/>
          <w:color w:val="auto"/>
        </w:rPr>
        <w:t>“Closed Accounts” means, collectively, Card Accounts that have had no Card Account Transactions and have a credit limit of zero (0) in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Currency.</w:t>
      </w:r>
    </w:p>
    <w:p>
      <w:pPr>
        <w:spacing w:after="0" w:line="36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138.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Closing Date</w:t>
      </w:r>
      <w:r>
        <w:rPr>
          <w:rFonts w:ascii="Times New Roman" w:cs="Times New Roman" w:eastAsia="Times New Roman" w:hAnsi="Times New Roman"/>
          <w:sz w:val="14"/>
          <w:szCs w:val="14"/>
          <w:color w:val="auto"/>
        </w:rPr>
        <w:t>” means November 18, 2022.</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139.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140.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Collateral</w:t>
      </w:r>
      <w:r>
        <w:rPr>
          <w:rFonts w:ascii="Times New Roman" w:cs="Times New Roman" w:eastAsia="Times New Roman" w:hAnsi="Times New Roman"/>
          <w:sz w:val="14"/>
          <w:szCs w:val="14"/>
          <w:color w:val="auto"/>
        </w:rPr>
        <w:t>” has the meaning specified in Section 7.01(a).</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 xml:space="preserve">ARTICLE 141.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Collection Account Control Agreement</w:t>
      </w:r>
      <w:r>
        <w:rPr>
          <w:rFonts w:ascii="Times New Roman" w:cs="Times New Roman" w:eastAsia="Times New Roman" w:hAnsi="Times New Roman"/>
          <w:sz w:val="15"/>
          <w:szCs w:val="15"/>
          <w:color w:val="auto"/>
        </w:rPr>
        <w:t>” means (a) the Deposit Account Control Agreement dated as of the Closing Date among the Borrower,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Administrative Agent and the Dollar Account Bank, or (b) any other agreement, in form and substance reasonably acceptable to the Administrative Agent, among the Borrower, the Administrative Agent and a Dollar Account Bank establishing “control” within the meaning of the UCC over the Dollar Collection Account, the Reserve Account or such other account as may be applicable from time to time.</w:t>
      </w:r>
    </w:p>
    <w:p>
      <w:pPr>
        <w:spacing w:after="0" w:line="158"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142.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Collection Accounts</w:t>
      </w:r>
      <w:r>
        <w:rPr>
          <w:rFonts w:ascii="Times New Roman" w:cs="Times New Roman" w:eastAsia="Times New Roman" w:hAnsi="Times New Roman"/>
          <w:sz w:val="14"/>
          <w:szCs w:val="14"/>
          <w:color w:val="auto"/>
        </w:rPr>
        <w:t>” means, collectively, the Dollar Collection Account and each of the English Collection Accounts.</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143.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Collection Period</w:t>
      </w:r>
      <w:r>
        <w:rPr>
          <w:rFonts w:ascii="Times New Roman" w:cs="Times New Roman" w:eastAsia="Times New Roman" w:hAnsi="Times New Roman"/>
          <w:sz w:val="15"/>
          <w:szCs w:val="15"/>
          <w:color w:val="auto"/>
        </w:rPr>
        <w:t>” means (a) with respect to the first Payment Date occurring after the Closing Date, the period beginning on the Closing Date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ending on the last day of</w:t>
      </w:r>
    </w:p>
    <w:p>
      <w:pPr>
        <w:sectPr>
          <w:pgSz w:w="11900" w:h="16838" w:orient="portrait"/>
          <w:cols w:equalWidth="0" w:num="1">
            <w:col w:w="11280"/>
          </w:cols>
          <w:pgMar w:left="300" w:top="1148" w:right="3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color w:val="auto"/>
        </w:rPr>
        <w:t>the first full calendar month ending after the Closing Date, and (b) with respect to any other Payment Date or other date, the prior calendar month (or portion thereof, as applicable).</w:t>
      </w:r>
    </w:p>
    <w:p>
      <w:pPr>
        <w:spacing w:after="0" w:line="20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144.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Collection Policy</w:t>
      </w:r>
      <w:r>
        <w:rPr>
          <w:rFonts w:ascii="Times New Roman" w:cs="Times New Roman" w:eastAsia="Times New Roman" w:hAnsi="Times New Roman"/>
          <w:sz w:val="15"/>
          <w:szCs w:val="15"/>
          <w:color w:val="auto"/>
        </w:rPr>
        <w:t>” means (a) with respect to the initial Servicer, the servicing and collection policies and guidelines attached hereto as Exhibit 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which, subject to Sections 5.01(d)(viii) and 5.02(j), may be amended, modified, waived or supplemented by the Servicer from time to time, and (b) with respect to any successor servicer approved by the Administrative Agent, such servicer’s customary and standard collection policies and guidelines for servicing corporate credit card receivables.</w:t>
      </w:r>
    </w:p>
    <w:p>
      <w:pPr>
        <w:spacing w:after="0" w:line="13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7"/>
          <w:szCs w:val="17"/>
          <w:color w:val="auto"/>
        </w:rPr>
        <w:t xml:space="preserve">ARTICLE 145.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Collections</w:t>
      </w:r>
      <w:r>
        <w:rPr>
          <w:rFonts w:ascii="Times New Roman" w:cs="Times New Roman" w:eastAsia="Times New Roman" w:hAnsi="Times New Roman"/>
          <w:sz w:val="15"/>
          <w:szCs w:val="15"/>
          <w:color w:val="auto"/>
        </w:rPr>
        <w:t>” means all cash collections, insurance proceeds, distributions, payments and other amounts received by an Originator, the Servicer,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Backup Servicer (from and after the first date upon which the Backup Servicing Agreement is in effect), the Seller or the Borrower, from any Person in respect of any Receivables and Related Documents, including all principal, interest, fees, all Navan Ancillary Amounts and repurchase proceeds payable to the Borrower under or in connection with any such Receivables and Related Documents, all Revenue Share and all Proceeds from any sale or disposition of any such Receivables or Related Documents and all Trade Credit Insurance Recoveries relating to the Obligor under such Receivables.</w:t>
      </w:r>
    </w:p>
    <w:p>
      <w:pPr>
        <w:spacing w:after="0" w:line="140"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146.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Committed Amount</w:t>
      </w:r>
      <w:r>
        <w:rPr>
          <w:rFonts w:ascii="Times New Roman" w:cs="Times New Roman" w:eastAsia="Times New Roman" w:hAnsi="Times New Roman"/>
          <w:sz w:val="14"/>
          <w:szCs w:val="14"/>
          <w:color w:val="auto"/>
        </w:rPr>
        <w:t>” means, on any date of determination, the sum of the Class A Committed Amount and the Class B Committed Amount on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0"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147.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Comparable Transaction</w:t>
      </w:r>
      <w:r>
        <w:rPr>
          <w:rFonts w:ascii="Times New Roman" w:cs="Times New Roman" w:eastAsia="Times New Roman" w:hAnsi="Times New Roman"/>
          <w:sz w:val="15"/>
          <w:szCs w:val="15"/>
          <w:color w:val="auto"/>
        </w:rPr>
        <w:t>” means any agreement of any Warehouse SPV that is a Subsidiary of Navan for the benefit of any third party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connection with such Warehouse SPV’s incurrence of any Indebtedness for borrowed money secured by receivables.</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148.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Connection Income Taxes</w:t>
      </w:r>
      <w:r>
        <w:rPr>
          <w:rFonts w:ascii="Times New Roman" w:cs="Times New Roman" w:eastAsia="Times New Roman" w:hAnsi="Times New Roman"/>
          <w:sz w:val="15"/>
          <w:szCs w:val="15"/>
          <w:color w:val="auto"/>
        </w:rPr>
        <w:t>” means Other Connection Taxes that are imposed on or measured by net income (however denominated) or that 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franchise Taxes or branch profits Taxes.</w:t>
      </w:r>
    </w:p>
    <w:p>
      <w:pPr>
        <w:spacing w:after="0" w:line="13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149.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Consent and Release</w:t>
      </w:r>
      <w:r>
        <w:rPr>
          <w:rFonts w:ascii="Times New Roman" w:cs="Times New Roman" w:eastAsia="Times New Roman" w:hAnsi="Times New Roman"/>
          <w:sz w:val="15"/>
          <w:szCs w:val="15"/>
          <w:color w:val="auto"/>
        </w:rPr>
        <w:t>” means a consent and release letter executed by the Administrative Agent in substantially the form of Exhibit D hereto or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other form reasonably acceptable to the Administrative Agent.</w:t>
      </w:r>
    </w:p>
    <w:p>
      <w:pPr>
        <w:spacing w:after="0" w:line="10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Consolidated Capital Expenditures</w:t>
      </w:r>
      <w:r>
        <w:rPr>
          <w:rFonts w:ascii="Times New Roman" w:cs="Times New Roman" w:eastAsia="Times New Roman" w:hAnsi="Times New Roman"/>
          <w:sz w:val="16"/>
          <w:szCs w:val="16"/>
          <w:color w:val="auto"/>
        </w:rPr>
        <w:t>” means, for any period, with respect to Navan and its consolidated Subsidiaries, the aggregate of all expenditures (whether paid in cash or other consideration or accrued as a liability and including that portion of Capital Lease Obligations which is capitalized on the consolidated balance sheet of Navan) by Navan and its consolidated Subsidiaries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Navan.</w:t>
      </w:r>
    </w:p>
    <w:p>
      <w:pPr>
        <w:spacing w:after="0" w:line="17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Consolidated Interest Expense</w:t>
      </w:r>
      <w:r>
        <w:rPr>
          <w:rFonts w:ascii="Times New Roman" w:cs="Times New Roman" w:eastAsia="Times New Roman" w:hAnsi="Times New Roman"/>
          <w:sz w:val="16"/>
          <w:szCs w:val="16"/>
          <w:color w:val="auto"/>
        </w:rPr>
        <w:t>” means, for any period, total cash interest expense (including that attributable to Capital Lease Obligations) of Navan and its consolidated Subsidiaries for such period as determined on a consolidated basis in accordance with GAAP.</w:t>
      </w:r>
    </w:p>
    <w:p>
      <w:pPr>
        <w:sectPr>
          <w:pgSz w:w="11900" w:h="16838" w:orient="portrait"/>
          <w:cols w:equalWidth="0" w:num="1">
            <w:col w:w="11280"/>
          </w:cols>
          <w:pgMar w:left="300" w:top="1139" w:right="319" w:bottom="1440" w:gutter="0" w:footer="0" w:header="0"/>
        </w:sectPr>
      </w:pPr>
    </w:p>
    <w:bookmarkStart w:id="219" w:name="page220"/>
    <w:bookmarkEnd w:id="219"/>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Consolidated Net Income</w:t>
      </w:r>
      <w:r>
        <w:rPr>
          <w:rFonts w:ascii="Times New Roman" w:cs="Times New Roman" w:eastAsia="Times New Roman" w:hAnsi="Times New Roman"/>
          <w:sz w:val="16"/>
          <w:szCs w:val="16"/>
          <w:color w:val="auto"/>
        </w:rPr>
        <w:t>” means, for any period, the consolidated net income (or loss) of Navan and its consolidated Subsidiaries, determined on a consolidated basis in accordance with GAAP.</w:t>
      </w: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ARTICLE 150.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Constituent Documents</w:t>
      </w:r>
      <w:r>
        <w:rPr>
          <w:rFonts w:ascii="Times New Roman" w:cs="Times New Roman" w:eastAsia="Times New Roman" w:hAnsi="Times New Roman"/>
          <w:sz w:val="15"/>
          <w:szCs w:val="15"/>
          <w:color w:val="auto"/>
        </w:rPr>
        <w:t>” means in respect of any Person, the certificate or articles of formation or organization, trust agreement, limited liability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company agreement, operating agreement, partnership agreement, joint venture agreement or other applicable agreement of formation or organization (or equivalent or comparable constituent documents) and other organizational documents and by laws and any certificate of incorporation, certificate of formation, certificate of limited partnership and other agreement, similar instrument filed or made in connection with its formation or organization.</w:t>
      </w:r>
    </w:p>
    <w:p>
      <w:pPr>
        <w:spacing w:after="0" w:line="157"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151.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Control</w:t>
      </w:r>
      <w:r>
        <w:rPr>
          <w:rFonts w:ascii="Times New Roman" w:cs="Times New Roman" w:eastAsia="Times New Roman" w:hAnsi="Times New Roman"/>
          <w:sz w:val="15"/>
          <w:szCs w:val="15"/>
          <w:color w:val="auto"/>
        </w:rPr>
        <w:t>” means the direct or indirect possession of the power to direct or cause the direction of the management or policies of a Person, whether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through ownership, by contract, arrangement or understanding, or otherwise. “Controlled” and “Controlling” have the meaning correlative thereto.</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152.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Corporate Leverage Ratio</w:t>
      </w:r>
      <w:r>
        <w:rPr>
          <w:rFonts w:ascii="Times New Roman" w:cs="Times New Roman" w:eastAsia="Times New Roman" w:hAnsi="Times New Roman"/>
          <w:sz w:val="15"/>
          <w:szCs w:val="15"/>
          <w:color w:val="auto"/>
        </w:rPr>
        <w:t>” means, as of the end of any calendar month or quarter, as applicable, the ratio of (a) total consolidated Funded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Indebtedness of Navan and its subsidiaries on a consolidated basis as of such day (excluding any Funded Indebtedness incurred by the Borrower or any Securitization Vehicle or Warehouse SPV) to (b) the Tangible Net Worth of Navan and its Subsidiaries on a consolidated basis as of such day.</w:t>
      </w:r>
    </w:p>
    <w:p>
      <w:pPr>
        <w:spacing w:after="0" w:line="145"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153.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Corresponding Tenor</w:t>
      </w:r>
      <w:r>
        <w:rPr>
          <w:rFonts w:ascii="Times New Roman" w:cs="Times New Roman" w:eastAsia="Times New Roman" w:hAnsi="Times New Roman"/>
          <w:sz w:val="15"/>
          <w:szCs w:val="15"/>
          <w:color w:val="auto"/>
        </w:rPr>
        <w:t>” means, with respect to a Benchmark Replacement, a tenor (including overnight) having approximately the same length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(disregarding business day adjustment) as the Available Tenor for the applicable Interest Accrual Period with respect to the then-current Benchmark.</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154.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Covered Entity</w:t>
      </w:r>
      <w:r>
        <w:rPr>
          <w:rFonts w:ascii="Times New Roman" w:cs="Times New Roman" w:eastAsia="Times New Roman" w:hAnsi="Times New Roman"/>
          <w:sz w:val="15"/>
          <w:szCs w:val="15"/>
          <w:color w:val="auto"/>
        </w:rPr>
        <w:t>” means any of the following: (i) a “covered entity” as that term is defined in, and interpreted in accordance with, 12 C.F.R.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252.82(b); (ii) a “covered bank” as that term is defined in, and interpreted in accordance with, 12 C.F.R. § 47.3(b); or (iii) a “covered FSI” as that term is defined in, and interpreted in accordance with, 12 C.F.R. § 382.2(b).</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155.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Covered Party</w:t>
      </w:r>
      <w:r>
        <w:rPr>
          <w:rFonts w:ascii="Times New Roman" w:cs="Times New Roman" w:eastAsia="Times New Roman" w:hAnsi="Times New Roman"/>
          <w:sz w:val="14"/>
          <w:szCs w:val="14"/>
          <w:color w:val="auto"/>
        </w:rPr>
        <w:t>” has the meaning specified in Section 12.22.</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156.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Credit Policy</w:t>
      </w:r>
      <w:r>
        <w:rPr>
          <w:rFonts w:ascii="Times New Roman" w:cs="Times New Roman" w:eastAsia="Times New Roman" w:hAnsi="Times New Roman"/>
          <w:sz w:val="15"/>
          <w:szCs w:val="15"/>
          <w:color w:val="auto"/>
        </w:rPr>
        <w:t>” means the credit policies and guidelines of Navan attached hereto as Exhibit G, which, subject to Sections 5.01(d)(viii) and 5.02(j),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may be amended, modified, waived or supplemented by Navan from time to time.</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157.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Cross-Default Cure Period</w:t>
      </w:r>
      <w:r>
        <w:rPr>
          <w:rFonts w:ascii="Times New Roman" w:cs="Times New Roman" w:eastAsia="Times New Roman" w:hAnsi="Times New Roman"/>
          <w:sz w:val="15"/>
          <w:szCs w:val="15"/>
          <w:color w:val="auto"/>
        </w:rPr>
        <w:t>” has the meaning set forth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Section 6.01(p)</w:t>
      </w:r>
      <w:r>
        <w:rPr>
          <w:rFonts w:ascii="Times New Roman" w:cs="Times New Roman" w:eastAsia="Times New Roman" w:hAnsi="Times New Roman"/>
          <w:sz w:val="15"/>
          <w:szCs w:val="15"/>
          <w:color w:val="auto"/>
        </w:rPr>
        <w:t>. An Unmatured Event of Default shall not be deemed to exist during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period of any Cross-Default Cure Period.</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158.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Cured</w:t>
      </w:r>
      <w:r>
        <w:rPr>
          <w:rFonts w:ascii="Times New Roman" w:cs="Times New Roman" w:eastAsia="Times New Roman" w:hAnsi="Times New Roman"/>
          <w:sz w:val="15"/>
          <w:szCs w:val="15"/>
          <w:color w:val="auto"/>
        </w:rPr>
        <w:t>” means, with respect to a Level I Trigger Event or Level II Trigger Event, that on two (2) consecutive Determination Dates after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occurrence of such Level I Trigger Event or Level II Trigger Event, as applicable, the event giving rise to such Level I Trigger Event or Level II Trigger Event has not occurred.</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159.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Currency</w:t>
      </w:r>
      <w:r>
        <w:rPr>
          <w:rFonts w:ascii="Times New Roman" w:cs="Times New Roman" w:eastAsia="Times New Roman" w:hAnsi="Times New Roman"/>
          <w:sz w:val="14"/>
          <w:szCs w:val="14"/>
          <w:color w:val="auto"/>
        </w:rPr>
        <w:t>” means Dollars, British Pounds or Euros, as applicable.</w:t>
      </w:r>
    </w:p>
    <w:p>
      <w:pPr>
        <w:sectPr>
          <w:pgSz w:w="11900" w:h="16838" w:orient="portrait"/>
          <w:cols w:equalWidth="0" w:num="1">
            <w:col w:w="11280"/>
          </w:cols>
          <w:pgMar w:left="300" w:top="1307" w:right="319" w:bottom="1440" w:gutter="0" w:footer="0" w:header="0"/>
        </w:sectPr>
      </w:pPr>
    </w:p>
    <w:bookmarkStart w:id="220" w:name="page221"/>
    <w:bookmarkEnd w:id="220"/>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160.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Cutoff Date</w:t>
      </w:r>
      <w:r>
        <w:rPr>
          <w:rFonts w:ascii="Times New Roman" w:cs="Times New Roman" w:eastAsia="Times New Roman" w:hAnsi="Times New Roman"/>
          <w:sz w:val="15"/>
          <w:szCs w:val="15"/>
          <w:color w:val="auto"/>
        </w:rPr>
        <w:t>” means, with respect to any Card Account, (i) the date specified as such in the Schedule of Accounts or (ii) if such Card Account is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Automatically Designated Account, the date such Card Account was opened pursuant to the Related Documents.</w:t>
      </w:r>
    </w:p>
    <w:p>
      <w:pPr>
        <w:spacing w:after="0" w:line="142"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161.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Data Tape</w:t>
      </w:r>
      <w:r>
        <w:rPr>
          <w:rFonts w:ascii="Times New Roman" w:cs="Times New Roman" w:eastAsia="Times New Roman" w:hAnsi="Times New Roman"/>
          <w:sz w:val="15"/>
          <w:szCs w:val="15"/>
          <w:color w:val="auto"/>
        </w:rPr>
        <w:t>” means a data tape, which shall include with respect to each Eligible Receivable the information set forth on Schedule 7, as may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amended, modified or supplemented from time to time by the Borrower and the Administrative Agent.</w:t>
      </w:r>
    </w:p>
    <w:p>
      <w:pPr>
        <w:spacing w:after="0" w:line="11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162.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Debtor Relief Laws</w:t>
      </w:r>
      <w:r>
        <w:rPr>
          <w:rFonts w:ascii="Times New Roman" w:cs="Times New Roman" w:eastAsia="Times New Roman" w:hAnsi="Times New Roman"/>
          <w:sz w:val="15"/>
          <w:szCs w:val="15"/>
          <w:color w:val="auto"/>
        </w:rPr>
        <w:t>” means (a) the Bankruptcy Code and (b) all other applicable liquidation, conservatorship, bankruptcy, moratorium,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arrangement, receivership, insolvency, reorganization, suspension of payments, adjustment of debt, marshaling of assets or similar debtor relief laws of the United States, any state or any foreign country from time to time in effect affecting the rights of creditors generally.</w:t>
      </w:r>
    </w:p>
    <w:p>
      <w:pPr>
        <w:spacing w:after="0" w:line="13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 xml:space="preserve">ARTICLE 163.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Default Ratio</w:t>
      </w:r>
      <w:r>
        <w:rPr>
          <w:rFonts w:ascii="Times New Roman" w:cs="Times New Roman" w:eastAsia="Times New Roman" w:hAnsi="Times New Roman"/>
          <w:sz w:val="15"/>
          <w:szCs w:val="15"/>
          <w:color w:val="auto"/>
        </w:rPr>
        <w:t>” means, with respect to a Collection Period, (i) the sum of the Dollar Equivalent of the aggregate principal balance of all Receivables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that become Defaulted Receivables during such Collection Period </w:t>
      </w:r>
      <w:r>
        <w:rPr>
          <w:rFonts w:ascii="Times New Roman" w:cs="Times New Roman" w:eastAsia="Times New Roman" w:hAnsi="Times New Roman"/>
          <w:sz w:val="15"/>
          <w:szCs w:val="15"/>
          <w:u w:val="single" w:color="auto"/>
          <w:color w:val="auto"/>
        </w:rPr>
        <w:t>divided</w:t>
      </w:r>
      <w:r>
        <w:rPr>
          <w:rFonts w:ascii="Times New Roman" w:cs="Times New Roman" w:eastAsia="Times New Roman" w:hAnsi="Times New Roman"/>
          <w:sz w:val="15"/>
          <w:szCs w:val="15"/>
          <w:color w:val="auto"/>
        </w:rPr>
        <w:t xml:space="preserve"> by (ii) the Dollar Equivalent of the aggregate Receivable Balance of all Receivables originated during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5"/>
          <w:szCs w:val="15"/>
          <w:color w:val="auto"/>
        </w:rPr>
        <w:t>) Collection Period preceding such Collection Period.</w:t>
      </w:r>
    </w:p>
    <w:p>
      <w:pPr>
        <w:sectPr>
          <w:pgSz w:w="11900" w:h="16838" w:orient="portrait"/>
          <w:cols w:equalWidth="0" w:num="1">
            <w:col w:w="11280"/>
          </w:cols>
          <w:pgMar w:left="300" w:top="1148" w:right="319" w:bottom="1440" w:gutter="0" w:footer="0" w:header="0"/>
        </w:sectPr>
      </w:pP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ARTICLE 164.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Default Right</w:t>
      </w:r>
      <w:r>
        <w:rPr>
          <w:rFonts w:ascii="Times New Roman" w:cs="Times New Roman" w:eastAsia="Times New Roman" w:hAnsi="Times New Roman"/>
          <w:sz w:val="16"/>
          <w:szCs w:val="16"/>
          <w:color w:val="auto"/>
        </w:rPr>
        <w:t>” has the meaning assigned to that term in, and shall be interpreted in accordance with, 12 C.F.R. §§ 252.81, 47.2 or 382.1, as</w:t>
      </w:r>
    </w:p>
    <w:p>
      <w:pPr>
        <w:spacing w:after="0" w:line="367" w:lineRule="exact"/>
        <w:rPr>
          <w:sz w:val="20"/>
          <w:szCs w:val="20"/>
          <w:color w:val="auto"/>
        </w:rPr>
      </w:pPr>
    </w:p>
    <w:p>
      <w:pPr>
        <w:sectPr>
          <w:pgSz w:w="11900" w:h="16838" w:orient="portrait"/>
          <w:cols w:equalWidth="0" w:num="2">
            <w:col w:w="1580" w:space="460"/>
            <w:col w:w="9240"/>
          </w:cols>
          <w:pgMar w:left="300" w:top="1148" w:right="319" w:bottom="1440" w:gutter="0" w:footer="0" w:header="0"/>
          <w:type w:val="continuous"/>
        </w:sect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165.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Defaulted Receivable</w:t>
      </w:r>
      <w:r>
        <w:rPr>
          <w:rFonts w:ascii="Times New Roman" w:cs="Times New Roman" w:eastAsia="Times New Roman" w:hAnsi="Times New Roman"/>
          <w:sz w:val="14"/>
          <w:szCs w:val="14"/>
          <w:color w:val="auto"/>
        </w:rPr>
        <w:t>” means, at any time:</w:t>
      </w:r>
    </w:p>
    <w:p>
      <w:pPr>
        <w:spacing w:after="0" w:line="186" w:lineRule="exact"/>
        <w:rPr>
          <w:sz w:val="20"/>
          <w:szCs w:val="20"/>
          <w:color w:val="auto"/>
        </w:rPr>
      </w:pPr>
    </w:p>
    <w:p>
      <w:pPr>
        <w:ind w:left="1020"/>
        <w:spacing w:after="0"/>
        <w:tabs>
          <w:tab w:leader="none" w:pos="2520" w:val="left"/>
          <w:tab w:leader="none" w:pos="2820" w:val="left"/>
        </w:tabs>
        <w:rPr>
          <w:sz w:val="20"/>
          <w:szCs w:val="20"/>
          <w:color w:val="auto"/>
        </w:rPr>
      </w:pPr>
      <w:r>
        <w:rPr>
          <w:rFonts w:ascii="Times New Roman" w:cs="Times New Roman" w:eastAsia="Times New Roman" w:hAnsi="Times New Roman"/>
          <w:sz w:val="17"/>
          <w:szCs w:val="17"/>
          <w:color w:val="auto"/>
        </w:rPr>
        <w:t>ARTICLE 166.</w:t>
      </w:r>
      <w:r>
        <w:rPr>
          <w:sz w:val="20"/>
          <w:szCs w:val="20"/>
          <w:color w:val="auto"/>
        </w:rPr>
        <w:tab/>
      </w:r>
      <w:r>
        <w:rPr>
          <w:rFonts w:ascii="Times New Roman" w:cs="Times New Roman" w:eastAsia="Times New Roman" w:hAnsi="Times New Roman"/>
          <w:sz w:val="16"/>
          <w:szCs w:val="16"/>
          <w:color w:val="auto"/>
        </w:rPr>
        <w:t>(i)</w:t>
      </w:r>
      <w:r>
        <w:rPr>
          <w:sz w:val="20"/>
          <w:szCs w:val="20"/>
          <w:color w:val="auto"/>
        </w:rPr>
        <w:tab/>
      </w:r>
      <w:r>
        <w:rPr>
          <w:rFonts w:ascii="Times New Roman" w:cs="Times New Roman" w:eastAsia="Times New Roman" w:hAnsi="Times New Roman"/>
          <w:sz w:val="14"/>
          <w:szCs w:val="14"/>
          <w:color w:val="auto"/>
        </w:rPr>
        <w:t>a 90-day Delinquent Receivable;</w:t>
      </w:r>
    </w:p>
    <w:p>
      <w:pPr>
        <w:spacing w:after="0" w:line="176" w:lineRule="exact"/>
        <w:rPr>
          <w:sz w:val="20"/>
          <w:szCs w:val="20"/>
          <w:color w:val="auto"/>
        </w:rPr>
      </w:pPr>
    </w:p>
    <w:p>
      <w:pPr>
        <w:ind w:left="1020"/>
        <w:spacing w:after="0"/>
        <w:tabs>
          <w:tab w:leader="none" w:pos="2520" w:val="left"/>
          <w:tab w:leader="none" w:pos="2920" w:val="left"/>
        </w:tabs>
        <w:rPr>
          <w:sz w:val="20"/>
          <w:szCs w:val="20"/>
          <w:color w:val="auto"/>
        </w:rPr>
      </w:pPr>
      <w:r>
        <w:rPr>
          <w:rFonts w:ascii="Times New Roman" w:cs="Times New Roman" w:eastAsia="Times New Roman" w:hAnsi="Times New Roman"/>
          <w:sz w:val="17"/>
          <w:szCs w:val="17"/>
          <w:color w:val="auto"/>
        </w:rPr>
        <w:t>ARTICLE 167.</w:t>
      </w:r>
      <w:r>
        <w:rPr>
          <w:sz w:val="20"/>
          <w:szCs w:val="20"/>
          <w:color w:val="auto"/>
        </w:rPr>
        <w:tab/>
      </w:r>
      <w:r>
        <w:rPr>
          <w:rFonts w:ascii="Times New Roman" w:cs="Times New Roman" w:eastAsia="Times New Roman" w:hAnsi="Times New Roman"/>
          <w:sz w:val="16"/>
          <w:szCs w:val="16"/>
          <w:color w:val="auto"/>
        </w:rPr>
        <w:t>(ii)</w:t>
        <w:tab/>
        <w:t>a Receivable as to which, to the knowledge of the Servicer or the Borrower, an Insolvency Event relating to the related Obligor of</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such Receivable has occurred;</w:t>
      </w:r>
    </w:p>
    <w:p>
      <w:pPr>
        <w:spacing w:after="0" w:line="170" w:lineRule="exact"/>
        <w:rPr>
          <w:sz w:val="20"/>
          <w:szCs w:val="20"/>
          <w:color w:val="auto"/>
        </w:rPr>
      </w:pPr>
    </w:p>
    <w:p>
      <w:pPr>
        <w:ind w:left="520"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168. </w:t>
      </w:r>
      <w:r>
        <w:rPr>
          <w:rFonts w:ascii="Times New Roman" w:cs="Times New Roman" w:eastAsia="Times New Roman" w:hAnsi="Times New Roman"/>
          <w:sz w:val="15"/>
          <w:szCs w:val="15"/>
          <w:color w:val="auto"/>
        </w:rPr>
        <w:t>(iii) a Receivable as to which the Borrower or the Servicer has determined in good faith in accordance with the Collection Policy that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Receivable shall be placed on “non accrual” status or is “not collectible,” or has reserved against it;</w:t>
      </w:r>
    </w:p>
    <w:p>
      <w:pPr>
        <w:spacing w:after="0" w:line="136" w:lineRule="exact"/>
        <w:rPr>
          <w:sz w:val="20"/>
          <w:szCs w:val="20"/>
          <w:color w:val="auto"/>
        </w:rPr>
      </w:pPr>
    </w:p>
    <w:p>
      <w:pPr>
        <w:ind w:left="520"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169. </w:t>
      </w:r>
      <w:r>
        <w:rPr>
          <w:rFonts w:ascii="Times New Roman" w:cs="Times New Roman" w:eastAsia="Times New Roman" w:hAnsi="Times New Roman"/>
          <w:sz w:val="15"/>
          <w:szCs w:val="15"/>
          <w:color w:val="auto"/>
        </w:rPr>
        <w:t>(iv) a Receivable that is charged off by the Servicer (or would be required to be charged off by the Servicer in accordance with the charge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off policies in the Collection Policy in effect from time to time in accordance with this Agreement); or</w:t>
      </w:r>
    </w:p>
    <w:p>
      <w:pPr>
        <w:spacing w:after="0" w:line="136" w:lineRule="exact"/>
        <w:rPr>
          <w:sz w:val="20"/>
          <w:szCs w:val="20"/>
          <w:color w:val="auto"/>
        </w:rPr>
      </w:pPr>
    </w:p>
    <w:p>
      <w:pPr>
        <w:ind w:left="1020"/>
        <w:spacing w:after="0"/>
        <w:tabs>
          <w:tab w:leader="none" w:pos="2520" w:val="left"/>
          <w:tab w:leader="none" w:pos="2920" w:val="left"/>
        </w:tabs>
        <w:rPr>
          <w:sz w:val="20"/>
          <w:szCs w:val="20"/>
          <w:color w:val="auto"/>
        </w:rPr>
      </w:pPr>
      <w:r>
        <w:rPr>
          <w:rFonts w:ascii="Times New Roman" w:cs="Times New Roman" w:eastAsia="Times New Roman" w:hAnsi="Times New Roman"/>
          <w:sz w:val="17"/>
          <w:szCs w:val="17"/>
          <w:color w:val="auto"/>
        </w:rPr>
        <w:t>ARTICLE 170.</w:t>
      </w:r>
      <w:r>
        <w:rPr>
          <w:sz w:val="20"/>
          <w:szCs w:val="20"/>
          <w:color w:val="auto"/>
        </w:rPr>
        <w:tab/>
      </w:r>
      <w:r>
        <w:rPr>
          <w:rFonts w:ascii="Times New Roman" w:cs="Times New Roman" w:eastAsia="Times New Roman" w:hAnsi="Times New Roman"/>
          <w:sz w:val="16"/>
          <w:szCs w:val="16"/>
          <w:color w:val="auto"/>
        </w:rPr>
        <w:t>(v)</w:t>
        <w:tab/>
        <w:t>a Receivable as to which (x) fraud is discovered in connection with the origination of the relevant Card Account or (y) all or any</w:t>
      </w:r>
    </w:p>
    <w:p>
      <w:pPr>
        <w:sectPr>
          <w:pgSz w:w="11900" w:h="16838" w:orient="portrait"/>
          <w:cols w:equalWidth="0" w:num="1">
            <w:col w:w="11280"/>
          </w:cols>
          <w:pgMar w:left="300" w:top="1148" w:right="319" w:bottom="1440" w:gutter="0" w:footer="0" w:header="0"/>
          <w:type w:val="continuous"/>
        </w:sectPr>
      </w:pPr>
    </w:p>
    <w:p>
      <w:pPr>
        <w:spacing w:after="0" w:line="24" w:lineRule="exact"/>
        <w:rPr>
          <w:sz w:val="20"/>
          <w:szCs w:val="20"/>
          <w:color w:val="auto"/>
        </w:rPr>
      </w:pPr>
    </w:p>
    <w:p>
      <w:pPr>
        <w:ind w:left="520"/>
        <w:spacing w:after="0" w:line="239" w:lineRule="auto"/>
        <w:rPr>
          <w:sz w:val="20"/>
          <w:szCs w:val="20"/>
          <w:color w:val="auto"/>
        </w:rPr>
      </w:pPr>
      <w:r>
        <w:rPr>
          <w:rFonts w:ascii="Times New Roman" w:cs="Times New Roman" w:eastAsia="Times New Roman" w:hAnsi="Times New Roman"/>
          <w:sz w:val="16"/>
          <w:szCs w:val="16"/>
          <w:color w:val="auto"/>
        </w:rPr>
        <w:t>portion of a scheduled payment is at least one (1) day past due from the scheduled Due Date for such payment as of such date of determination and the Servicer has determined that the related Card Account Transaction was fraudulent.</w:t>
      </w:r>
    </w:p>
    <w:p>
      <w:pPr>
        <w:spacing w:after="0" w:line="168" w:lineRule="exact"/>
        <w:rPr>
          <w:sz w:val="20"/>
          <w:szCs w:val="20"/>
          <w:color w:val="auto"/>
        </w:rPr>
      </w:pPr>
    </w:p>
    <w:p>
      <w:pPr>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171.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Delinquency Ratio</w:t>
      </w:r>
      <w:r>
        <w:rPr>
          <w:rFonts w:ascii="Times New Roman" w:cs="Times New Roman" w:eastAsia="Times New Roman" w:hAnsi="Times New Roman"/>
          <w:sz w:val="15"/>
          <w:szCs w:val="15"/>
          <w:color w:val="auto"/>
        </w:rPr>
        <w:t>” means, with respect to a Collection Period, the ratio (expressed as a percentage) equal to (i) the Dollar Equivalent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aggregate Receivable Balance of all</w:t>
      </w:r>
    </w:p>
    <w:p>
      <w:pPr>
        <w:sectPr>
          <w:pgSz w:w="11900" w:h="16838" w:orient="portrait"/>
          <w:cols w:equalWidth="0" w:num="1">
            <w:col w:w="11280"/>
          </w:cols>
          <w:pgMar w:left="300" w:top="1148" w:right="319" w:bottom="1440" w:gutter="0" w:footer="0" w:header="0"/>
          <w:type w:val="continuous"/>
        </w:sectPr>
      </w:pPr>
    </w:p>
    <w:bookmarkStart w:id="221" w:name="page222"/>
    <w:bookmarkEnd w:id="221"/>
    <w:p>
      <w:pPr>
        <w:jc w:val="both"/>
        <w:spacing w:after="0" w:line="254" w:lineRule="auto"/>
        <w:rPr>
          <w:sz w:val="20"/>
          <w:szCs w:val="20"/>
          <w:color w:val="auto"/>
        </w:rPr>
      </w:pPr>
      <w:r>
        <w:rPr>
          <w:rFonts w:ascii="Times New Roman" w:cs="Times New Roman" w:eastAsia="Times New Roman" w:hAnsi="Times New Roman"/>
          <w:sz w:val="16"/>
          <w:szCs w:val="16"/>
          <w:color w:val="auto"/>
        </w:rPr>
        <w:t>Receivables that were Eligible Receivables at any time since the Closing Date that are 30-day Delinquent Receivables as of the end of such period or would have been 30-day Delinquent Receivables if such Receivables were not sold or otherwise disposed of by the Borrower during such Collection Period, divided by (ii) the Dollar Equivalent of the aggregate Receivable Balance of all Receivables originated during the prior Collection Period.</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172.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Designated Citi ABL Funded Indebtedness</w:t>
      </w:r>
      <w:r>
        <w:rPr>
          <w:rFonts w:ascii="Times New Roman" w:cs="Times New Roman" w:eastAsia="Times New Roman" w:hAnsi="Times New Roman"/>
          <w:sz w:val="15"/>
          <w:szCs w:val="15"/>
          <w:color w:val="auto"/>
        </w:rPr>
        <w:t>” means the Funded Indebtedness evidenced by that certain Credit Agreement, dated as of March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2025, by and among (i) Navan, (ii) Reed &amp; Mackay Travel Inc., a Delaware corporation, (iii) Reed &amp; Mackay Travel Limited, a company incorporated under the laws of England,</w:t>
      </w:r>
    </w:p>
    <w:p>
      <w:pPr>
        <w:ind w:firstLine="5"/>
        <w:spacing w:after="0" w:line="258" w:lineRule="auto"/>
        <w:tabs>
          <w:tab w:leader="none" w:pos="2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additional Persons that are joined as a party thereto as a borrower, (v) each of the lenders party thereto from time to time and (vi) Citibank, N.A., as lender, agent and in certain other capacities (as amended, restated, amended and restated, supplemented, restructured or otherwise modified from time to time).</w:t>
      </w:r>
    </w:p>
    <w:p>
      <w:pPr>
        <w:spacing w:after="0" w:line="142"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173.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Determination Date</w:t>
      </w:r>
      <w:r>
        <w:rPr>
          <w:rFonts w:ascii="Times New Roman" w:cs="Times New Roman" w:eastAsia="Times New Roman" w:hAnsi="Times New Roman"/>
          <w:sz w:val="14"/>
          <w:szCs w:val="14"/>
          <w:color w:val="auto"/>
        </w:rPr>
        <w:t>” means the last day of a Collection Period.</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174. </w:t>
      </w:r>
      <w:r>
        <w:rPr>
          <w:rFonts w:ascii="Times New Roman" w:cs="Times New Roman" w:eastAsia="Times New Roman" w:hAnsi="Times New Roman"/>
          <w:sz w:val="15"/>
          <w:szCs w:val="15"/>
          <w:i w:val="1"/>
          <w:iCs w:val="1"/>
          <w:color w:val="auto"/>
        </w:rPr>
        <w:t>“Disqualified Assignee”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means any Person listed on Schedule 8 hereto (as such Schedule 8 may be amended from time to time by the Borrower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with the consent of the Required Lenders and the Required Class B Lenders, not to be unreasonably delayed, withheld or conditioned) and any Affiliate thereof that is clearly identifiable as an Affiliate thereof solely on the basis of such Person’s name or otherwise.</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175.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 Account Bank</w:t>
      </w:r>
      <w:r>
        <w:rPr>
          <w:rFonts w:ascii="Times New Roman" w:cs="Times New Roman" w:eastAsia="Times New Roman" w:hAnsi="Times New Roman"/>
          <w:sz w:val="14"/>
          <w:szCs w:val="14"/>
          <w:color w:val="auto"/>
        </w:rPr>
        <w:t>” means (a) Citibank, N.A. or (b) another Qualified Institution reasonably acceptable to the Administrative Agent.</w:t>
      </w:r>
    </w:p>
    <w:p>
      <w:pPr>
        <w:spacing w:after="0" w:line="17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176.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Dollar Collection Account</w:t>
      </w:r>
      <w:r>
        <w:rPr>
          <w:rFonts w:ascii="Times New Roman" w:cs="Times New Roman" w:eastAsia="Times New Roman" w:hAnsi="Times New Roman"/>
          <w:sz w:val="15"/>
          <w:szCs w:val="15"/>
          <w:color w:val="auto"/>
        </w:rPr>
        <w:t>” means the account established at the Dollar Account Bank in the name of the Borrower for the purpose of receiving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Collections denominated in Dollars, which account has been designated as the “Dollar Collection Account” and which shall at all times be the subject of a Collection Account Control Agreement.</w:t>
      </w:r>
    </w:p>
    <w:p>
      <w:pPr>
        <w:spacing w:after="0" w:line="3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177.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Dollar Equivalent</w:t>
      </w:r>
      <w:r>
        <w:rPr>
          <w:rFonts w:ascii="Times New Roman" w:cs="Times New Roman" w:eastAsia="Times New Roman" w:hAnsi="Times New Roman"/>
          <w:sz w:val="15"/>
          <w:szCs w:val="15"/>
          <w:color w:val="auto"/>
        </w:rPr>
        <w:t>” means, on any date of determination (a) with respect to any amount denominated in Dollars, such amount, (b) with respect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any amount denominated in British Pounds, the equivalent amount in Dollars determined by the Administrative Agent, on the basis of the Applicable Exchange Rate and (c) with respect to any amount denominated in Euros, the equivalent amount in Dollars determined by the Administrative Agent, on the basis of the Applicable Exchange Rate.</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178.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mean lawful money of the United States of America.</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179.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Dormant Accounts</w:t>
      </w:r>
      <w:r>
        <w:rPr>
          <w:rFonts w:ascii="Times New Roman" w:cs="Times New Roman" w:eastAsia="Times New Roman" w:hAnsi="Times New Roman"/>
          <w:sz w:val="15"/>
          <w:szCs w:val="15"/>
          <w:color w:val="auto"/>
        </w:rPr>
        <w:t>” means, collectively, Card Accounts that have previously had Card Account Transactions, but as of any date of determination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have no accounts receivables and the date of the last Card Account Transaction was more than twelve (12) months prior to such date of determination.</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180.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Due Date</w:t>
      </w:r>
      <w:r>
        <w:rPr>
          <w:rFonts w:ascii="Times New Roman" w:cs="Times New Roman" w:eastAsia="Times New Roman" w:hAnsi="Times New Roman"/>
          <w:sz w:val="14"/>
          <w:szCs w:val="14"/>
          <w:color w:val="auto"/>
        </w:rPr>
        <w:t>” means each date on which any payment is due on a Receivable in accordance with its terms.</w:t>
      </w:r>
    </w:p>
    <w:p>
      <w:pPr>
        <w:sectPr>
          <w:pgSz w:w="11900" w:h="16838" w:orient="portrait"/>
          <w:cols w:equalWidth="0" w:num="1">
            <w:col w:w="11280"/>
          </w:cols>
          <w:pgMar w:left="300" w:top="1139" w:right="319" w:bottom="1440" w:gutter="0" w:footer="0" w:header="0"/>
        </w:sectPr>
      </w:pPr>
    </w:p>
    <w:bookmarkStart w:id="222" w:name="page223"/>
    <w:bookmarkEnd w:id="222"/>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181.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EEA Financial Institution</w:t>
      </w:r>
      <w:r>
        <w:rPr>
          <w:rFonts w:ascii="Times New Roman" w:cs="Times New Roman" w:eastAsia="Times New Roman" w:hAnsi="Times New Roman"/>
          <w:sz w:val="15"/>
          <w:szCs w:val="15"/>
          <w:color w:val="auto"/>
        </w:rPr>
        <w:t>” means (a) any credit institution or investment firm established in any EEA Member Country which is subject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38"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182.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EEA Member Country</w:t>
      </w:r>
      <w:r>
        <w:rPr>
          <w:rFonts w:ascii="Times New Roman" w:cs="Times New Roman" w:eastAsia="Times New Roman" w:hAnsi="Times New Roman"/>
          <w:sz w:val="14"/>
          <w:szCs w:val="14"/>
          <w:color w:val="auto"/>
        </w:rPr>
        <w:t>” means any of the member states of the European Union, Iceland, Liechtenstein, and Norway.</w:t>
      </w:r>
    </w:p>
    <w:p>
      <w:pPr>
        <w:spacing w:after="0" w:line="18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183.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EEA Resolution Authority</w:t>
      </w:r>
      <w:r>
        <w:rPr>
          <w:rFonts w:ascii="Times New Roman" w:cs="Times New Roman" w:eastAsia="Times New Roman" w:hAnsi="Times New Roman"/>
          <w:sz w:val="15"/>
          <w:szCs w:val="15"/>
          <w:color w:val="auto"/>
        </w:rPr>
        <w:t>” means any public administrative authority or any person entrusted with public administrative authority of any EEA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Member Country (including any delegee) having responsibility for the resolution of any EEA Financial Institution.</w:t>
      </w:r>
    </w:p>
    <w:p>
      <w:pPr>
        <w:spacing w:after="0" w:line="11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184.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Eligible Assignee</w:t>
      </w:r>
      <w:r>
        <w:rPr>
          <w:rFonts w:ascii="Times New Roman" w:cs="Times New Roman" w:eastAsia="Times New Roman" w:hAnsi="Times New Roman"/>
          <w:sz w:val="15"/>
          <w:szCs w:val="15"/>
          <w:color w:val="auto"/>
        </w:rPr>
        <w:t>” means (a) the Administrative Agent, a Lender or an Affiliate of the Administrative Agent or a Lender or an Approved Fund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(b)(i) prior to the occurrence of an Event of Default, a Person consented to by the Borrower (such consent not to be unreasonably withheld, delayed or conditioned) or (ii) from and after the occurrence of an Event of Default, any Person;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assignment shall be made to (i) a natural Person (or a holding company, investment vehicle or trust for, or owned and operated for the primary benefit of, a natural Person), (ii) the Borrower or any of the Borrower’s Affiliates or (iii) a Disqualified Assignee.</w:t>
      </w:r>
    </w:p>
    <w:p>
      <w:pPr>
        <w:spacing w:after="0" w:line="148"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185.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Eligible Card Account</w:t>
      </w:r>
      <w:r>
        <w:rPr>
          <w:rFonts w:ascii="Times New Roman" w:cs="Times New Roman" w:eastAsia="Times New Roman" w:hAnsi="Times New Roman"/>
          <w:sz w:val="14"/>
          <w:szCs w:val="14"/>
          <w:color w:val="auto"/>
        </w:rPr>
        <w:t>” has the meaning set forth on Schedule 2 hereto.</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186.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Eligible Non-U.S. Country</w:t>
      </w:r>
      <w:r>
        <w:rPr>
          <w:rFonts w:ascii="Times New Roman" w:cs="Times New Roman" w:eastAsia="Times New Roman" w:hAnsi="Times New Roman"/>
          <w:sz w:val="15"/>
          <w:szCs w:val="15"/>
          <w:color w:val="auto"/>
        </w:rPr>
        <w:t>” shall mean each of Austria, Belgium, Croatia, Cyprus, Estonia, Finland, France, Germany, Greece, Ireland, Italy,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Latvia, Lithuania, Luxembourg, Malta, Netherlands, Portugal, Slovakia, Slovenia, Spain and the United Kingdom.</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187.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Eligible Receivable</w:t>
      </w:r>
      <w:r>
        <w:rPr>
          <w:rFonts w:ascii="Times New Roman" w:cs="Times New Roman" w:eastAsia="Times New Roman" w:hAnsi="Times New Roman"/>
          <w:sz w:val="14"/>
          <w:szCs w:val="14"/>
          <w:color w:val="auto"/>
        </w:rPr>
        <w:t>” has the meaning set forth on Schedule 2 hereto.</w:t>
      </w:r>
    </w:p>
    <w:p>
      <w:pPr>
        <w:spacing w:after="0" w:line="18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188.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EMU Legislation</w:t>
      </w:r>
      <w:r>
        <w:rPr>
          <w:rFonts w:ascii="Times New Roman" w:cs="Times New Roman" w:eastAsia="Times New Roman" w:hAnsi="Times New Roman"/>
          <w:sz w:val="15"/>
          <w:szCs w:val="15"/>
          <w:color w:val="auto"/>
        </w:rPr>
        <w:t>” means the legislative measures of the European Council for the introduction of, changeover to or operation of a single or unified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European currency.</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189.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English Account Bank</w:t>
      </w:r>
      <w:r>
        <w:rPr>
          <w:rFonts w:ascii="Times New Roman" w:cs="Times New Roman" w:eastAsia="Times New Roman" w:hAnsi="Times New Roman"/>
          <w:sz w:val="14"/>
          <w:szCs w:val="14"/>
          <w:color w:val="auto"/>
        </w:rPr>
        <w:t>” means (a) Citibank, N.A., London Branch or (b) another Qualified Institution reasonably acceptable to the Administrative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w:t>
      </w:r>
    </w:p>
    <w:p>
      <w:pPr>
        <w:spacing w:after="0" w:line="159"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190.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English Collection Accounts</w:t>
      </w:r>
      <w:r>
        <w:rPr>
          <w:rFonts w:ascii="Times New Roman" w:cs="Times New Roman" w:eastAsia="Times New Roman" w:hAnsi="Times New Roman"/>
          <w:sz w:val="14"/>
          <w:szCs w:val="14"/>
          <w:color w:val="auto"/>
        </w:rPr>
        <w:t>” means collectively, each of the Euro Collection Account and the GBP Collection Account.</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191.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English Deed of Charge</w:t>
      </w:r>
      <w:r>
        <w:rPr>
          <w:rFonts w:ascii="Times New Roman" w:cs="Times New Roman" w:eastAsia="Times New Roman" w:hAnsi="Times New Roman"/>
          <w:sz w:val="15"/>
          <w:szCs w:val="15"/>
          <w:color w:val="auto"/>
        </w:rPr>
        <w:t>” means (a) the Deed of Charge dated as of the Amendment No. 4 Effective Date, among the Borrower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Administrative Agent, or (b) any other agreement, in form and substance reasonably acceptable to the Administrative Agent, among the Borrower and the Administrative Agent granting security under English law over the English Collection Accounts or such other account as may be applicable from time to time.</w:t>
      </w:r>
    </w:p>
    <w:p>
      <w:pPr>
        <w:spacing w:after="0" w:line="145"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192.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Equity Interests</w:t>
      </w:r>
      <w:r>
        <w:rPr>
          <w:rFonts w:ascii="Times New Roman" w:cs="Times New Roman" w:eastAsia="Times New Roman" w:hAnsi="Times New Roman"/>
          <w:sz w:val="15"/>
          <w:szCs w:val="15"/>
          <w:color w:val="auto"/>
        </w:rPr>
        <w:t>” means, with respect to any Person, all of the shares of capital stock of (or other ownership (including beneficial ownership)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profit interests in) such Person,</w:t>
      </w:r>
    </w:p>
    <w:p>
      <w:pPr>
        <w:sectPr>
          <w:pgSz w:w="11900" w:h="16838" w:orient="portrait"/>
          <w:cols w:equalWidth="0" w:num="1">
            <w:col w:w="11280"/>
          </w:cols>
          <w:pgMar w:left="300" w:top="1148" w:right="319" w:bottom="1440" w:gutter="0" w:footer="0" w:header="0"/>
        </w:sectPr>
      </w:pPr>
    </w:p>
    <w:bookmarkStart w:id="223" w:name="page224"/>
    <w:bookmarkEnd w:id="223"/>
    <w:p>
      <w:pPr>
        <w:jc w:val="both"/>
        <w:spacing w:after="0" w:line="248" w:lineRule="auto"/>
        <w:rPr>
          <w:sz w:val="20"/>
          <w:szCs w:val="20"/>
          <w:color w:val="auto"/>
        </w:rPr>
      </w:pPr>
      <w:r>
        <w:rPr>
          <w:rFonts w:ascii="Times New Roman" w:cs="Times New Roman" w:eastAsia="Times New Roman" w:hAnsi="Times New Roman"/>
          <w:sz w:val="16"/>
          <w:szCs w:val="16"/>
          <w:color w:val="auto"/>
        </w:rPr>
        <w:t>all of the warrants, options or other rights for the purchase or acquisition from such Person of shares of capital stock of (or other ownership (including beneficial ownership) or profit interests in) such Person, all of the securities convertible into or exchangeable for shares of capital stock of (or other ownership (including beneficial ownership) or profit interests in) such Person or warrants, rights or options for the purchase or acquisition from such Person of such shares (or such other interests), and all of the other ownership (including beneficial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1"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193.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ERISA</w:t>
      </w:r>
      <w:r>
        <w:rPr>
          <w:rFonts w:ascii="Times New Roman" w:cs="Times New Roman" w:eastAsia="Times New Roman" w:hAnsi="Times New Roman"/>
          <w:sz w:val="14"/>
          <w:szCs w:val="14"/>
          <w:color w:val="auto"/>
        </w:rPr>
        <w:t>” means the Employee Retirement Income Security Act of 1974, and the regulations promulgated and rulings issued thereunder.</w:t>
      </w:r>
    </w:p>
    <w:p>
      <w:pPr>
        <w:spacing w:after="0" w:line="18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7"/>
          <w:szCs w:val="17"/>
          <w:color w:val="auto"/>
        </w:rPr>
        <w:t xml:space="preserve">ARTICLE 194.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ERISA Event</w:t>
      </w:r>
      <w:r>
        <w:rPr>
          <w:rFonts w:ascii="Times New Roman" w:cs="Times New Roman" w:eastAsia="Times New Roman" w:hAnsi="Times New Roman"/>
          <w:sz w:val="15"/>
          <w:szCs w:val="15"/>
          <w:color w:val="auto"/>
        </w:rPr>
        <w:t>” means (a) any “reportable event,” as defined in Section 4043 of ERISA or the regulations issued thereunder with respect to a Plan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in “at risk” status (as defined in Section 430 of the Code or Section 303 of ERISA); (e) the incurrence by the Borrower or any member of its ERISA Group of any liability under Title IV of ERISA with respect to the termination of any Plan pursuant to Section 4041(c) or 4042 of ERISA; (f) (i) the receipt by the Borrower or any member of its ERISA Group from the PBGC of a written notice of determination that the PBGC intends to seek termination of any Plan or to have a trustee appointed for any Plan, or (ii) the filing by the Borrower or any member of its ERISA Group of a notice of intent to terminate any Plan pursuant to Section 4041(c) of ERISA; (g) the incurrence by the Borrower or any member of its ERISA Group of any liability (i) with respect to a Plan pursuant to Sections 4063 and 4064 of ERISA,</w:t>
      </w:r>
    </w:p>
    <w:p>
      <w:pPr>
        <w:spacing w:after="0" w:line="2" w:lineRule="exact"/>
        <w:rPr>
          <w:sz w:val="20"/>
          <w:szCs w:val="20"/>
          <w:color w:val="auto"/>
        </w:rPr>
      </w:pPr>
    </w:p>
    <w:p>
      <w:pPr>
        <w:jc w:val="both"/>
        <w:ind w:firstLine="5"/>
        <w:spacing w:after="0" w:line="244" w:lineRule="auto"/>
        <w:tabs>
          <w:tab w:leader="none" w:pos="23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in endangered status or critical status, within the meaning of Section 432 of the Code or Section 305 of ERISA or is insolvent, within the meaning of Title IV of ERISA; or (i) the failure of the Borrower or any member of its ERISA Group to make any required contribution to a Multiemployer Plan on or before the applicable due date.</w:t>
      </w:r>
    </w:p>
    <w:p>
      <w:pPr>
        <w:spacing w:after="0" w:line="165"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195.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ERISA Group</w:t>
      </w:r>
      <w:r>
        <w:rPr>
          <w:rFonts w:ascii="Times New Roman" w:cs="Times New Roman" w:eastAsia="Times New Roman" w:hAnsi="Times New Roman"/>
          <w:sz w:val="15"/>
          <w:szCs w:val="15"/>
          <w:color w:val="auto"/>
        </w:rPr>
        <w:t>” means each controlled group of corporations or trades or businesses (whether or not incorporated) under common control that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treated as a single employer under Section 414(b) or (c) of the Code (or Section 414(m) or (o) of the Code for purposes of provisions related to Section 412 of the Code) with the Borrower.</w:t>
      </w:r>
    </w:p>
    <w:p>
      <w:pPr>
        <w:spacing w:after="0" w:line="32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196.</w:t>
      </w:r>
      <w:r>
        <w:rPr>
          <w:sz w:val="20"/>
          <w:szCs w:val="20"/>
          <w:color w:val="auto"/>
        </w:rPr>
        <w:tab/>
      </w:r>
      <w:r>
        <w:rPr>
          <w:rFonts w:ascii="Times New Roman" w:cs="Times New Roman" w:eastAsia="Times New Roman" w:hAnsi="Times New Roman"/>
          <w:sz w:val="14"/>
          <w:szCs w:val="14"/>
          <w:i w:val="1"/>
          <w:iCs w:val="1"/>
          <w:color w:val="auto"/>
        </w:rPr>
        <w:t xml:space="preserve">“Erroneous Payment” </w:t>
      </w:r>
      <w:r>
        <w:rPr>
          <w:rFonts w:ascii="Times New Roman" w:cs="Times New Roman" w:eastAsia="Times New Roman" w:hAnsi="Times New Roman"/>
          <w:sz w:val="14"/>
          <w:szCs w:val="14"/>
          <w:color w:val="auto"/>
        </w:rPr>
        <w:t>has the meaning set forth in Section 11.07(a).</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197.</w:t>
      </w:r>
      <w:r>
        <w:rPr>
          <w:sz w:val="20"/>
          <w:szCs w:val="20"/>
          <w:color w:val="auto"/>
        </w:rPr>
        <w:tab/>
      </w:r>
      <w:r>
        <w:rPr>
          <w:rFonts w:ascii="Times New Roman" w:cs="Times New Roman" w:eastAsia="Times New Roman" w:hAnsi="Times New Roman"/>
          <w:sz w:val="14"/>
          <w:szCs w:val="14"/>
          <w:i w:val="1"/>
          <w:iCs w:val="1"/>
          <w:color w:val="auto"/>
        </w:rPr>
        <w:t xml:space="preserve">“Erroneous Payment Deficiency Assignment” </w:t>
      </w:r>
      <w:r>
        <w:rPr>
          <w:rFonts w:ascii="Times New Roman" w:cs="Times New Roman" w:eastAsia="Times New Roman" w:hAnsi="Times New Roman"/>
          <w:sz w:val="14"/>
          <w:szCs w:val="14"/>
          <w:color w:val="auto"/>
        </w:rPr>
        <w:t>has the meaning set forth in Section 11.07(d).</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198.</w:t>
      </w:r>
      <w:r>
        <w:rPr>
          <w:sz w:val="20"/>
          <w:szCs w:val="20"/>
          <w:color w:val="auto"/>
        </w:rPr>
        <w:tab/>
      </w:r>
      <w:r>
        <w:rPr>
          <w:rFonts w:ascii="Times New Roman" w:cs="Times New Roman" w:eastAsia="Times New Roman" w:hAnsi="Times New Roman"/>
          <w:sz w:val="14"/>
          <w:szCs w:val="14"/>
          <w:i w:val="1"/>
          <w:iCs w:val="1"/>
          <w:color w:val="auto"/>
        </w:rPr>
        <w:t xml:space="preserve">“Erroneous Payment Impacted Class” </w:t>
      </w:r>
      <w:r>
        <w:rPr>
          <w:rFonts w:ascii="Times New Roman" w:cs="Times New Roman" w:eastAsia="Times New Roman" w:hAnsi="Times New Roman"/>
          <w:sz w:val="14"/>
          <w:szCs w:val="14"/>
          <w:color w:val="auto"/>
        </w:rPr>
        <w:t>has the meaning set forth in Section 11.07(d).</w:t>
      </w:r>
    </w:p>
    <w:p>
      <w:pPr>
        <w:sectPr>
          <w:pgSz w:w="11900" w:h="16838" w:orient="portrait"/>
          <w:cols w:equalWidth="0" w:num="1">
            <w:col w:w="11280"/>
          </w:cols>
          <w:pgMar w:left="300" w:top="1139" w:right="319" w:bottom="1440" w:gutter="0" w:footer="0" w:header="0"/>
        </w:sectPr>
      </w:pPr>
    </w:p>
    <w:bookmarkStart w:id="224" w:name="page225"/>
    <w:bookmarkEnd w:id="224"/>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199.</w:t>
      </w:r>
      <w:r>
        <w:rPr>
          <w:sz w:val="20"/>
          <w:szCs w:val="20"/>
          <w:color w:val="auto"/>
        </w:rPr>
        <w:tab/>
      </w:r>
      <w:r>
        <w:rPr>
          <w:rFonts w:ascii="Times New Roman" w:cs="Times New Roman" w:eastAsia="Times New Roman" w:hAnsi="Times New Roman"/>
          <w:sz w:val="14"/>
          <w:szCs w:val="14"/>
          <w:i w:val="1"/>
          <w:iCs w:val="1"/>
          <w:color w:val="auto"/>
        </w:rPr>
        <w:t xml:space="preserve">“Erroneous Payment Return Deficiency” </w:t>
      </w:r>
      <w:r>
        <w:rPr>
          <w:rFonts w:ascii="Times New Roman" w:cs="Times New Roman" w:eastAsia="Times New Roman" w:hAnsi="Times New Roman"/>
          <w:sz w:val="14"/>
          <w:szCs w:val="14"/>
          <w:color w:val="auto"/>
        </w:rPr>
        <w:t>has the meaning set forth in Section 11.07(d).</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200.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EU Bail-In Legislation Schedule</w:t>
      </w:r>
      <w:r>
        <w:rPr>
          <w:rFonts w:ascii="Times New Roman" w:cs="Times New Roman" w:eastAsia="Times New Roman" w:hAnsi="Times New Roman"/>
          <w:sz w:val="15"/>
          <w:szCs w:val="15"/>
          <w:color w:val="auto"/>
        </w:rPr>
        <w:t>” means the EU Bail-In Legislation Schedule published by the Loan Market Association (or any successor person),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 in effect from time to time.</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201.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Euro Collection Account</w:t>
      </w:r>
      <w:r>
        <w:rPr>
          <w:rFonts w:ascii="Times New Roman" w:cs="Times New Roman" w:eastAsia="Times New Roman" w:hAnsi="Times New Roman"/>
          <w:sz w:val="15"/>
          <w:szCs w:val="15"/>
          <w:color w:val="auto"/>
        </w:rPr>
        <w:t>” means the account established at the English Account Bank in the name of the Borrower for the purpose of receiving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Collections denominated in Euros, which account has been designated as the “Euro Collection Account” and which shall at all times be the subject of an English Deed of Charge.</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Euros</w:t>
      </w:r>
      <w:r>
        <w:rPr>
          <w:rFonts w:ascii="Times New Roman" w:cs="Times New Roman" w:eastAsia="Times New Roman" w:hAnsi="Times New Roman"/>
          <w:sz w:val="16"/>
          <w:szCs w:val="16"/>
          <w:color w:val="auto"/>
        </w:rPr>
        <w:t>” means the lawful currency of the Participating Member States introduced in accordance with the EMU Legislation.</w:t>
      </w:r>
    </w:p>
    <w:p>
      <w:pPr>
        <w:spacing w:after="0" w:line="187"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202.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has the meaning specified in Section 6.01.</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203.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Excess Concentration Amount</w:t>
      </w:r>
      <w:r>
        <w:rPr>
          <w:rFonts w:ascii="Times New Roman" w:cs="Times New Roman" w:eastAsia="Times New Roman" w:hAnsi="Times New Roman"/>
          <w:sz w:val="14"/>
          <w:szCs w:val="14"/>
          <w:color w:val="auto"/>
        </w:rPr>
        <w:t>” means, as of any date of determination, the sum (without duplication) of the following amounts: [***]</w:t>
      </w:r>
    </w:p>
    <w:p>
      <w:pPr>
        <w:spacing w:after="0" w:line="18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204.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Excess Spread Ratio</w:t>
      </w:r>
      <w:r>
        <w:rPr>
          <w:rFonts w:ascii="Times New Roman" w:cs="Times New Roman" w:eastAsia="Times New Roman" w:hAnsi="Times New Roman"/>
          <w:sz w:val="15"/>
          <w:szCs w:val="15"/>
          <w:color w:val="auto"/>
        </w:rPr>
        <w:t>” means with respect to a Collection Period, the percentage equivalent of a fraction (a) the numerator of which is the excess, if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any, of (1) Revenue Share with respect to such Collection Period, minus (2) the sum of (i) the amounts described in Section 9.01(b)(i) and (ii) that are due and payable on the next Payment Date, (ii) the Class A Interest and Class A Unused Fees that are due and payable on the next Payment Date and (iii) the Class B Interest and Class B Unused Fees that are due and payable on the next Payment Date, minus (3) the Dollar Equivalent of the aggregate principal balance of all Receivables that are or become Defaulted Receivables during such Collection Period, plus (4) all recoveries received during such Collection Period in respect of Receivables that are or had become Defaulted Receivables, plus (5) any Navan Ancillary Amounts and (b) the denominator of which is the Dollar Equivalent of the average aggregate daily Receivable Balance during such Collection Period. For purposes hereof, the Receivable Balance with respect to a Receivable purchased by the Borrower from the Seller at a discount that is included in clause (b) hereof shall be the Dollar Equivalent of the outstanding principal balance of such Receivable giving effect to such discount.</w:t>
      </w:r>
    </w:p>
    <w:p>
      <w:pPr>
        <w:spacing w:after="0" w:line="15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205.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Excess Spread Threshold</w:t>
      </w:r>
      <w:r>
        <w:rPr>
          <w:rFonts w:ascii="Times New Roman" w:cs="Times New Roman" w:eastAsia="Times New Roman" w:hAnsi="Times New Roman"/>
          <w:sz w:val="14"/>
          <w:szCs w:val="14"/>
          <w:color w:val="auto"/>
        </w:rPr>
        <w:t>” means, with respect to a Collection Period, the sum of (x) 0.10% and (y) the Periodic Customer Reward Percentage.</w:t>
      </w:r>
    </w:p>
    <w:p>
      <w:pPr>
        <w:spacing w:after="0" w:line="17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206.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Exchange Act</w:t>
      </w:r>
      <w:r>
        <w:rPr>
          <w:rFonts w:ascii="Times New Roman" w:cs="Times New Roman" w:eastAsia="Times New Roman" w:hAnsi="Times New Roman"/>
          <w:sz w:val="15"/>
          <w:szCs w:val="15"/>
          <w:color w:val="auto"/>
        </w:rPr>
        <w:t>” means the Securities Exchange Act of 1934, and the rules and regulations promulgated thereunder, all as from time to time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effect, or any successor law, rules or regulations, and any reference to any statutory or regulatory provision shall be deemed to be a reference to any successor statutory or regulatory provision.</w:t>
      </w:r>
    </w:p>
    <w:p>
      <w:pPr>
        <w:spacing w:after="0" w:line="3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207.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Excluded Eligible Card Account</w:t>
      </w:r>
      <w:r>
        <w:rPr>
          <w:rFonts w:ascii="Times New Roman" w:cs="Times New Roman" w:eastAsia="Times New Roman" w:hAnsi="Times New Roman"/>
          <w:sz w:val="15"/>
          <w:szCs w:val="15"/>
          <w:color w:val="auto"/>
        </w:rPr>
        <w:t>” means an Eligible Card Account that, if designated for inclusion in the Schedule of Accounts on or about its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origination, would, in the reasonable discretion of the Seller, be expected to result in the existence of an Excess Concentration</w:t>
      </w:r>
    </w:p>
    <w:p>
      <w:pPr>
        <w:sectPr>
          <w:pgSz w:w="11900" w:h="16838" w:orient="portrait"/>
          <w:cols w:equalWidth="0" w:num="1">
            <w:col w:w="11280"/>
          </w:cols>
          <w:pgMar w:left="300" w:top="1148" w:right="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color w:val="auto"/>
        </w:rPr>
        <w:t xml:space="preserve">Amount;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for the avoidance of doubt, any Card Account that is past due in any manner shall be considered an Excluded Eligible Card Account.</w:t>
      </w:r>
    </w:p>
    <w:p>
      <w:pPr>
        <w:spacing w:after="0" w:line="18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208.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Excluded Obligor</w:t>
      </w:r>
      <w:r>
        <w:rPr>
          <w:rFonts w:ascii="Times New Roman" w:cs="Times New Roman" w:eastAsia="Times New Roman" w:hAnsi="Times New Roman"/>
          <w:sz w:val="15"/>
          <w:szCs w:val="15"/>
          <w:color w:val="auto"/>
        </w:rPr>
        <w:t>” means, as of any date of determination, an Obligor (i) as to which the related Card Account was designated by the Seller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inclusion on the Schedule of Accounts after the Closing Date, (ii) that has a senior long term unsecured debt rating of “BBB” or better by S&amp;P, “Baa2” or better by Moody’s or “BBB” or better by Fitch on such date and (iii) that, when the Dollar Equivalent of the aggregate Receivables Balances of all Receivables owing from such Obligor is added to the Dollar Equivalent of the aggregate Receivables Balances of all Receivables owing from all Obligors that satisfy the requirements of clauses (i) and (ii) on such date, does not cause the Dollar Equivalent of the aggregate Receivables Balances of all Receivables owing from all Obligors that satisfy the requirements of clauses (i) and (ii) on such date to exceed 15.00% of the Dollar Equivalent of the aggregate Receivables Balances of all Receivables on such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Lenders shall have the right, in their sole and absolute discretion, to determine whether any Obligor that does not satisfy each of clauses (i), (ii) and (iii) shall be determined to be an Excluded Obligor.</w:t>
      </w:r>
    </w:p>
    <w:p>
      <w:pPr>
        <w:spacing w:after="0" w:line="15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209.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Excluded Taxes</w:t>
      </w:r>
      <w:r>
        <w:rPr>
          <w:rFonts w:ascii="Times New Roman" w:cs="Times New Roman" w:eastAsia="Times New Roman" w:hAnsi="Times New Roman"/>
          <w:sz w:val="15"/>
          <w:szCs w:val="15"/>
          <w:color w:val="auto"/>
        </w:rPr>
        <w:t>” means any of the following Taxes imposed on or with respect to a Recipient or required to be withheld or deducted from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to make Advances pursuant to a law in effect on the date on which (i) such Lender acquires such interest in the Advance or commitment to make Advances (other than pursuant to an assignment request by the Borrower under Section 2.09(b) or 2.11(b)) or (ii) such Lender changes its lending office, except in each case to the extent that, pursuant to Section 12.03, amounts with respect to such Taxes were payable either to such Lender’s assignor immediately before such Lender became a party hereto or to such Lender immediately before it changed its lending office, (c) Taxes attributable to such Recipient’s failure to comply with Section 12.03(g) and (d) any Taxes imposed under FATCA.</w:t>
      </w:r>
    </w:p>
    <w:p>
      <w:pPr>
        <w:spacing w:after="0" w:line="14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Facility Documents</w:t>
      </w:r>
      <w:r>
        <w:rPr>
          <w:rFonts w:ascii="Times New Roman" w:cs="Times New Roman" w:eastAsia="Times New Roman" w:hAnsi="Times New Roman"/>
          <w:sz w:val="15"/>
          <w:szCs w:val="15"/>
          <w:color w:val="auto"/>
        </w:rPr>
        <w:t>” means this Agreement, the Receivables Purchase Agreement, the Backup Servicing Agreement (from and after the first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upon which the Backup Servicing Agreement is in effect), the Pledge Agreement, the Collection Account Control Agreement, the Class A Fee Letter, the Class B Fee Letter, the Limited Guaranty and Indemnity Agreement, the Servicing Agreement, the English Deed of Charge, the Letter Agreement and any other agreements, documents, security agreements and other instruments entered into or delivered by or on behalf of the Borrower, the Backup Servicer (when applicable), any Account Bank, the Seller or the Servicer, in connection with any of the foregoing agreements, this Agreement or pursuant to Section 5.01(c) to create, perfect or otherwise evidence the Administrative Agent’s security interest in the Collateral.</w:t>
      </w:r>
    </w:p>
    <w:p>
      <w:pPr>
        <w:spacing w:after="0" w:line="342"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FATCA</w:t>
      </w:r>
      <w:r>
        <w:rPr>
          <w:rFonts w:ascii="Times New Roman" w:cs="Times New Roman" w:eastAsia="Times New Roman" w:hAnsi="Times New Roman"/>
          <w:sz w:val="15"/>
          <w:szCs w:val="15"/>
          <w:color w:val="auto"/>
        </w:rPr>
        <w:t>” means Sections 1471 through 1474 of the Code, as of the date of this Agreement (or any amended or successor version that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substantively comparable and not materially more onerous to comply with), any current or future regulations or official interpretations</w:t>
      </w:r>
    </w:p>
    <w:p>
      <w:pPr>
        <w:sectPr>
          <w:pgSz w:w="11900" w:h="16838" w:orient="portrait"/>
          <w:cols w:equalWidth="0" w:num="1">
            <w:col w:w="11280"/>
          </w:cols>
          <w:pgMar w:left="300" w:top="1139" w:right="319" w:bottom="1440" w:gutter="0" w:footer="0" w:header="0"/>
        </w:sectPr>
      </w:pPr>
    </w:p>
    <w:bookmarkStart w:id="226" w:name="page227"/>
    <w:bookmarkEnd w:id="226"/>
    <w:p>
      <w:pPr>
        <w:jc w:val="both"/>
        <w:spacing w:after="0" w:line="273" w:lineRule="auto"/>
        <w:rPr>
          <w:sz w:val="20"/>
          <w:szCs w:val="20"/>
          <w:color w:val="auto"/>
        </w:rPr>
      </w:pPr>
      <w:r>
        <w:rPr>
          <w:rFonts w:ascii="Times New Roman" w:cs="Times New Roman" w:eastAsia="Times New Roman" w:hAnsi="Times New Roman"/>
          <w:sz w:val="16"/>
          <w:szCs w:val="16"/>
          <w:color w:val="auto"/>
        </w:rPr>
        <w:t>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3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Federal Funds Rate</w:t>
      </w:r>
      <w:r>
        <w:rPr>
          <w:rFonts w:ascii="Times New Roman" w:cs="Times New Roman" w:eastAsia="Times New Roman" w:hAnsi="Times New Roman"/>
          <w:sz w:val="15"/>
          <w:szCs w:val="15"/>
          <w:color w:val="auto"/>
        </w:rPr>
        <w:t>” means, for any period, a fluctuating interest rate per annum equal for each day during such period to the weighted average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provided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and the Administrative Agent in writing. Each determination of the Federal Funds Rate by a Lender pursuant to the foregoing proviso shall be conclusive and binding except in the case of manifest error.</w:t>
      </w:r>
    </w:p>
    <w:p>
      <w:pPr>
        <w:spacing w:after="0" w:line="14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213.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Fee Ramp-Up Period</w:t>
      </w:r>
      <w:r>
        <w:rPr>
          <w:rFonts w:ascii="Times New Roman" w:cs="Times New Roman" w:eastAsia="Times New Roman" w:hAnsi="Times New Roman"/>
          <w:sz w:val="14"/>
          <w:szCs w:val="14"/>
          <w:color w:val="auto"/>
        </w:rPr>
        <w:t>” means the period beginning on the Closing Date and ending on the 2-month anniversary of the Closing Date.</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214.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Final Maturity Date</w:t>
      </w:r>
      <w:r>
        <w:rPr>
          <w:rFonts w:ascii="Times New Roman" w:cs="Times New Roman" w:eastAsia="Times New Roman" w:hAnsi="Times New Roman"/>
          <w:sz w:val="15"/>
          <w:szCs w:val="15"/>
          <w:color w:val="auto"/>
        </w:rPr>
        <w:t>” means the earliest of (a) February 18, 2028 (or such later date as may be agreed by the Borrower and each of the Lenders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notified in writing to the Administrative Agent), (b) the date of the acceleration of the Advances pursuant to Section 6.02, or (c) the date on which all Obligations shall have been paid in full (other than contingent indemnity obligations not yet due and owing).</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Fitch</w:t>
      </w:r>
      <w:r>
        <w:rPr>
          <w:rFonts w:ascii="Times New Roman" w:cs="Times New Roman" w:eastAsia="Times New Roman" w:hAnsi="Times New Roman"/>
          <w:sz w:val="14"/>
          <w:szCs w:val="14"/>
          <w:color w:val="auto"/>
        </w:rPr>
        <w:t>” means Fitch Ratings Inc.</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Floor</w:t>
      </w:r>
      <w:r>
        <w:rPr>
          <w:rFonts w:ascii="Times New Roman" w:cs="Times New Roman" w:eastAsia="Times New Roman" w:hAnsi="Times New Roman"/>
          <w:sz w:val="14"/>
          <w:szCs w:val="14"/>
          <w:color w:val="auto"/>
        </w:rPr>
        <w:t>” means 0.25%.</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Lender</w:t>
      </w:r>
      <w:r>
        <w:rPr>
          <w:rFonts w:ascii="Times New Roman" w:cs="Times New Roman" w:eastAsia="Times New Roman" w:hAnsi="Times New Roman"/>
          <w:sz w:val="14"/>
          <w:szCs w:val="14"/>
          <w:color w:val="auto"/>
        </w:rPr>
        <w:t>” means a Lender that is not a U.S. Person.</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Fund</w:t>
      </w:r>
      <w:r>
        <w:rPr>
          <w:rFonts w:ascii="Times New Roman" w:cs="Times New Roman" w:eastAsia="Times New Roman" w:hAnsi="Times New Roman"/>
          <w:sz w:val="15"/>
          <w:szCs w:val="15"/>
          <w:color w:val="auto"/>
        </w:rPr>
        <w:t>” means any Person (other than a natural Person) that is (or will be) engaged in making, purchasing, holding or otherwise investing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commercial loans and similar extensions of credit in the ordinary course of its activities.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219.</w:t>
            </w:r>
          </w:p>
        </w:tc>
        <w:tc>
          <w:tcPr>
            <w:tcW w:w="9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Fundamental Amendment</w:t>
            </w:r>
            <w:r>
              <w:rPr>
                <w:rFonts w:ascii="Times New Roman" w:cs="Times New Roman" w:eastAsia="Times New Roman" w:hAnsi="Times New Roman"/>
                <w:sz w:val="16"/>
                <w:szCs w:val="16"/>
                <w:color w:val="auto"/>
              </w:rPr>
              <w:t>” means any amendment, modification, waiver or supplement of or to this Agreement that would:</w:t>
            </w:r>
          </w:p>
        </w:tc>
      </w:tr>
      <w:tr>
        <w:trPr>
          <w:trHeight w:val="356"/>
        </w:trPr>
        <w:tc>
          <w:tcPr>
            <w:tcW w:w="1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220.</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90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change the term of this Agreement, the Reinvestment Period, the Scheduled Reinvestment Period Termination Date, the Termination Date or</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the Final Maturity Date;</w:t>
            </w:r>
          </w:p>
        </w:tc>
        <w:tc>
          <w:tcPr>
            <w:tcW w:w="480" w:type="dxa"/>
            <w:vAlign w:val="bottom"/>
          </w:tcPr>
          <w:p>
            <w:pPr>
              <w:spacing w:after="0"/>
              <w:rPr>
                <w:sz w:val="17"/>
                <w:szCs w:val="17"/>
                <w:color w:val="auto"/>
              </w:rPr>
            </w:pPr>
          </w:p>
        </w:tc>
        <w:tc>
          <w:tcPr>
            <w:tcW w:w="9000" w:type="dxa"/>
            <w:vAlign w:val="bottom"/>
          </w:tcPr>
          <w:p>
            <w:pPr>
              <w:spacing w:after="0"/>
              <w:rPr>
                <w:sz w:val="17"/>
                <w:szCs w:val="17"/>
                <w:color w:val="auto"/>
              </w:rPr>
            </w:pPr>
          </w:p>
        </w:tc>
      </w:tr>
      <w:tr>
        <w:trPr>
          <w:trHeight w:val="375"/>
        </w:trPr>
        <w:tc>
          <w:tcPr>
            <w:tcW w:w="1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221.</w:t>
            </w:r>
          </w:p>
        </w:tc>
        <w:tc>
          <w:tcPr>
            <w:tcW w:w="9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  increase the Class A Committed Amount or the Class B Committed Amount;</w:t>
            </w:r>
          </w:p>
        </w:tc>
      </w:tr>
      <w:tr>
        <w:trPr>
          <w:trHeight w:val="382"/>
        </w:trPr>
        <w:tc>
          <w:tcPr>
            <w:tcW w:w="1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ARTICLE 222.</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w:t>
            </w:r>
          </w:p>
        </w:tc>
        <w:tc>
          <w:tcPr>
            <w:tcW w:w="9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extend the date fixed for the payment of principal of or interest on any Class A Advance or Class B Advance or any fee hereunder;</w:t>
            </w:r>
          </w:p>
        </w:tc>
      </w:tr>
    </w:tbl>
    <w:p>
      <w:pPr>
        <w:sectPr>
          <w:pgSz w:w="11900" w:h="16838" w:orient="portrait"/>
          <w:cols w:equalWidth="0" w:num="1">
            <w:col w:w="11280"/>
          </w:cols>
          <w:pgMar w:left="300" w:top="1139" w:right="319" w:bottom="1440" w:gutter="0" w:footer="0" w:header="0"/>
        </w:sectPr>
      </w:pPr>
    </w:p>
    <w:bookmarkStart w:id="227" w:name="page228"/>
    <w:bookmarkEnd w:id="227"/>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223. </w:t>
      </w:r>
      <w:r>
        <w:rPr>
          <w:rFonts w:ascii="Times New Roman" w:cs="Times New Roman" w:eastAsia="Times New Roman" w:hAnsi="Times New Roman"/>
          <w:sz w:val="15"/>
          <w:szCs w:val="15"/>
          <w:color w:val="auto"/>
        </w:rPr>
        <w:t>(d) (1) reduce the amount of any payment of principal, including the Class B Loan Principal Balance of any Class B Lender, (2) reduce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principal amount of any Advance, (3) reduce the rate at which interest is payable on any Advance or other Obligation or the amount of any fee payable under the Facility Documents, (4) modify or alter any provision relating to the allocation or application of Collections (including, without limitation,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xml:space="preserve"> and the expense and indemnity caps set forth in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xml:space="preserve">), or modify or alter any provision relating to the pro rata treatment of any class of loans;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any amendments of the Class A Fee Letter that amend only the definitions set forth therein shall be deemed not to be a Fundamental Amendment;</w:t>
      </w:r>
    </w:p>
    <w:p>
      <w:pPr>
        <w:spacing w:after="0" w:line="151"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224. </w:t>
      </w:r>
      <w:r>
        <w:rPr>
          <w:rFonts w:ascii="Times New Roman" w:cs="Times New Roman" w:eastAsia="Times New Roman" w:hAnsi="Times New Roman"/>
          <w:sz w:val="15"/>
          <w:szCs w:val="15"/>
          <w:color w:val="auto"/>
        </w:rPr>
        <w:t>(e) release the Borrower, the Seller, the Servicer, Navan, or any material portion of the Collateral from the provisions of any Facility Document,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except as expressly permitted in the Facility Documents;</w:t>
      </w:r>
    </w:p>
    <w:p>
      <w:pPr>
        <w:spacing w:after="0" w:line="113" w:lineRule="exact"/>
        <w:rPr>
          <w:sz w:val="20"/>
          <w:szCs w:val="20"/>
          <w:color w:val="auto"/>
        </w:rPr>
      </w:pPr>
    </w:p>
    <w:p>
      <w:pPr>
        <w:jc w:val="both"/>
        <w:ind w:left="520"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225. </w:t>
      </w:r>
      <w:r>
        <w:rPr>
          <w:rFonts w:ascii="Times New Roman" w:cs="Times New Roman" w:eastAsia="Times New Roman" w:hAnsi="Times New Roman"/>
          <w:sz w:val="15"/>
          <w:szCs w:val="15"/>
          <w:color w:val="auto"/>
        </w:rPr>
        <w:t>(f) alter the terms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or any Accelerated Amortization Event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notwithstanding anything to the contrary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or the foregoing clause (c), the Administrative Agent, in its sole discretion, may allow the Borrower to cure any Accelerated Amortization Event or Event of Default within no more than five (5) Business Days after the occurrence of such Accelerated Amortization Event or Event of Default (including the lapse of any applicable grace period) and, if the Borrower cures such Accelerated Amortization Event or Event of Default to the satisfaction of the Administrative Agent within such period of time, such Accelerated Amortization Event or Event of Default shall be deemed waived by the Lenders), </w:t>
      </w:r>
      <w:r>
        <w:rPr>
          <w:rFonts w:ascii="Times New Roman" w:cs="Times New Roman" w:eastAsia="Times New Roman" w:hAnsi="Times New Roman"/>
          <w:sz w:val="15"/>
          <w:szCs w:val="15"/>
          <w:u w:val="single" w:color="auto"/>
          <w:color w:val="auto"/>
        </w:rPr>
        <w:t>Section 3.02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5.01(a)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(o)</w:t>
      </w:r>
      <w:r>
        <w:rPr>
          <w:rFonts w:ascii="Times New Roman" w:cs="Times New Roman" w:eastAsia="Times New Roman" w:hAnsi="Times New Roman"/>
          <w:sz w:val="15"/>
          <w:szCs w:val="15"/>
          <w:color w:val="auto"/>
        </w:rPr>
        <w:t xml:space="preserve">, Section 5.02, Section 5.03, </w:t>
      </w:r>
      <w:r>
        <w:rPr>
          <w:rFonts w:ascii="Times New Roman" w:cs="Times New Roman" w:eastAsia="Times New Roman" w:hAnsi="Times New Roman"/>
          <w:sz w:val="15"/>
          <w:szCs w:val="15"/>
          <w:u w:val="single" w:color="auto"/>
          <w:color w:val="auto"/>
        </w:rPr>
        <w:t>Article 13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12.01</w:t>
      </w:r>
      <w:r>
        <w:rPr>
          <w:rFonts w:ascii="Times New Roman" w:cs="Times New Roman" w:eastAsia="Times New Roman" w:hAnsi="Times New Roman"/>
          <w:sz w:val="15"/>
          <w:szCs w:val="15"/>
          <w:color w:val="auto"/>
        </w:rPr>
        <w:t>, or in each case any defined term used therein;</w:t>
      </w:r>
    </w:p>
    <w:p>
      <w:pPr>
        <w:spacing w:after="0" w:line="152" w:lineRule="exact"/>
        <w:rPr>
          <w:sz w:val="20"/>
          <w:szCs w:val="20"/>
          <w:color w:val="auto"/>
        </w:rPr>
      </w:pPr>
    </w:p>
    <w:p>
      <w:pPr>
        <w:jc w:val="both"/>
        <w:ind w:left="520"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226. </w:t>
      </w:r>
      <w:r>
        <w:rPr>
          <w:rFonts w:ascii="Times New Roman" w:cs="Times New Roman" w:eastAsia="Times New Roman" w:hAnsi="Times New Roman"/>
          <w:sz w:val="15"/>
          <w:szCs w:val="15"/>
          <w:color w:val="auto"/>
        </w:rPr>
        <w:t>(g) modify any provision specifying the number of Lenders or portion of the Aggregate Loan Principal Balance or Committed Amount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take action under the Facility Documents;</w:t>
      </w:r>
    </w:p>
    <w:p>
      <w:pPr>
        <w:sectPr>
          <w:pgSz w:w="11900" w:h="16838" w:orient="portrait"/>
          <w:cols w:equalWidth="0" w:num="1">
            <w:col w:w="11280"/>
          </w:cols>
          <w:pgMar w:left="300" w:top="1148" w:right="319" w:bottom="1440" w:gutter="0" w:footer="0" w:header="0"/>
        </w:sectPr>
      </w:pP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ARTICLE 227.</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 modify any provisions related to pro rata funding obligations or rights to payment among the Lenders or similar provisions;</w:t>
      </w:r>
    </w:p>
    <w:p>
      <w:pPr>
        <w:spacing w:after="0" w:line="208" w:lineRule="exact"/>
        <w:rPr>
          <w:sz w:val="20"/>
          <w:szCs w:val="20"/>
          <w:color w:val="auto"/>
        </w:rPr>
      </w:pPr>
    </w:p>
    <w:p>
      <w:pPr>
        <w:sectPr>
          <w:pgSz w:w="11900" w:h="16838" w:orient="portrait"/>
          <w:cols w:equalWidth="0" w:num="2">
            <w:col w:w="2060" w:space="480"/>
            <w:col w:w="8740"/>
          </w:cols>
          <w:pgMar w:left="300" w:top="1148" w:right="3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color w:val="auto"/>
        </w:rPr>
        <w:t>ARTICLE 228.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 create or permit any Lien or security interest in the Collateral other than a Permitted Lien;</w:t>
      </w:r>
    </w:p>
    <w:p>
      <w:pPr>
        <w:spacing w:after="0" w:line="197" w:lineRule="exact"/>
        <w:rPr>
          <w:sz w:val="20"/>
          <w:szCs w:val="20"/>
          <w:color w:val="auto"/>
        </w:rPr>
      </w:pPr>
    </w:p>
    <w:p>
      <w:pPr>
        <w:sectPr>
          <w:pgSz w:w="11900" w:h="16838" w:orient="portrait"/>
          <w:cols w:equalWidth="0" w:num="2">
            <w:col w:w="2060" w:space="480"/>
            <w:col w:w="8740"/>
          </w:cols>
          <w:pgMar w:left="300" w:top="1148" w:right="319" w:bottom="1440" w:gutter="0" w:footer="0" w:header="0"/>
          <w:type w:val="continuous"/>
        </w:sectPr>
      </w:pPr>
    </w:p>
    <w:p>
      <w:pPr>
        <w:ind w:left="520"/>
        <w:spacing w:after="0"/>
        <w:tabs>
          <w:tab w:leader="none" w:pos="2000" w:val="left"/>
          <w:tab w:leader="none" w:pos="2340" w:val="left"/>
        </w:tabs>
        <w:rPr>
          <w:sz w:val="20"/>
          <w:szCs w:val="20"/>
          <w:color w:val="auto"/>
        </w:rPr>
      </w:pPr>
      <w:r>
        <w:rPr>
          <w:rFonts w:ascii="Times New Roman" w:cs="Times New Roman" w:eastAsia="Times New Roman" w:hAnsi="Times New Roman"/>
          <w:sz w:val="17"/>
          <w:szCs w:val="17"/>
          <w:color w:val="auto"/>
        </w:rPr>
        <w:t>ARTICLE 229.</w:t>
      </w:r>
      <w:r>
        <w:rPr>
          <w:sz w:val="20"/>
          <w:szCs w:val="20"/>
          <w:color w:val="auto"/>
        </w:rPr>
        <w:tab/>
      </w:r>
      <w:r>
        <w:rPr>
          <w:rFonts w:ascii="Times New Roman" w:cs="Times New Roman" w:eastAsia="Times New Roman" w:hAnsi="Times New Roman"/>
          <w:sz w:val="16"/>
          <w:szCs w:val="16"/>
          <w:color w:val="auto"/>
        </w:rPr>
        <w:t>(j)</w:t>
      </w:r>
      <w:r>
        <w:rPr>
          <w:sz w:val="20"/>
          <w:szCs w:val="20"/>
          <w:color w:val="auto"/>
        </w:rPr>
        <w:tab/>
      </w:r>
      <w:r>
        <w:rPr>
          <w:rFonts w:ascii="Times New Roman" w:cs="Times New Roman" w:eastAsia="Times New Roman" w:hAnsi="Times New Roman"/>
          <w:sz w:val="14"/>
          <w:szCs w:val="14"/>
          <w:color w:val="auto"/>
        </w:rPr>
        <w:t>modify the definition of the terms “Committed Amount”, “Class B Committed Amount”, “Class A Committed Amount”, “Class B Advance”,</w:t>
      </w:r>
    </w:p>
    <w:p>
      <w:pPr>
        <w:sectPr>
          <w:pgSz w:w="11900" w:h="16838" w:orient="portrait"/>
          <w:cols w:equalWidth="0" w:num="1">
            <w:col w:w="11280"/>
          </w:cols>
          <w:pgMar w:left="300" w:top="1148" w:right="319" w:bottom="1440" w:gutter="0" w:footer="0" w:header="0"/>
          <w:type w:val="continuous"/>
        </w:sectPr>
      </w:pPr>
    </w:p>
    <w:p>
      <w:pPr>
        <w:spacing w:after="0" w:line="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“Class B Advance Amount”, “WA Class B Advance Rate”, “Class B Aggregate Loan Principal Balance”, “Class B Borrowing Base”, “Class B Borrowing Base Deficiency”, “Class B Draw Fee”, “Class B Fee Letter”, “Class B Interest”, “Class B Interest Rate”, “Class B Lender”, “Class B Loan Principal Balance”, “Class B Margin”, “Class B Maximum Available Amount”, “Class B Minimum Utilization Amount”, “Class B Minimum Utilization Fees”, “Class B Minimum Utilization Period”, “Class B Obligations”, “Class B Unused Fee”, “Class B Unused Fee Rate”, “Class B Prepayment Premium”, “Class B Representative”, “Class B Utilization Shortfall Amount”, “Class B Regular Principal Distribution Amount”, “Class B Percentage”, “Class B Upfront Fee”, “Class Percentage”, “Default Ratio”, “Delinquency Ratio”, “Eligible Assignee”, “Eligible Card Account”, “Eligible Receivable”, “Excess Concentration Amount”, “Excess Spread Ratio”, “Corporate Leverage Ratio”, “Leverage Ratio”, “Periodic Customer Reward Percentage”,</w:t>
      </w:r>
    </w:p>
    <w:p>
      <w:pPr>
        <w:sectPr>
          <w:pgSz w:w="11900" w:h="16838" w:orient="portrait"/>
          <w:cols w:equalWidth="0" w:num="1">
            <w:col w:w="11280"/>
          </w:cols>
          <w:pgMar w:left="300" w:top="1148" w:right="319" w:bottom="1440" w:gutter="0" w:footer="0" w:header="0"/>
          <w:type w:val="continuous"/>
        </w:sectPr>
      </w:pPr>
    </w:p>
    <w:bookmarkStart w:id="228" w:name="page229"/>
    <w:bookmarkEnd w:id="228"/>
    <w:p>
      <w:pPr>
        <w:jc w:val="both"/>
        <w:spacing w:after="0" w:line="248" w:lineRule="auto"/>
        <w:rPr>
          <w:sz w:val="20"/>
          <w:szCs w:val="20"/>
          <w:color w:val="auto"/>
        </w:rPr>
      </w:pPr>
      <w:r>
        <w:rPr>
          <w:rFonts w:ascii="Times New Roman" w:cs="Times New Roman" w:eastAsia="Times New Roman" w:hAnsi="Times New Roman"/>
          <w:sz w:val="16"/>
          <w:szCs w:val="16"/>
          <w:color w:val="auto"/>
        </w:rPr>
        <w:t>“Reserve Account Draw Amount”, “Reserve Account Required Deposit Amount”, “Reserve Account Trigger Event”, “Three-Month Rolling Average Delinquency Ratio”, “Three-Month Rolling Average Default Ratio”, “Three-Month Rolling Average Excess Spread Ratio” “Six-Month Rolling Average Excess Spread Ratio” “Fundamental Amendment”, “SOFR Rate”, “Benchmark”, “Level I Trigger Event”, “Level II Trigger Event”, “Level III Trigger Event”, “Aggregate Loan Principal Balance”, “Obligations”, “Permitted Lien”, “Recycling Condition”, “Required Lenders”, “Required Class B Lenders”, “Target Interest and Fees Amount”, “Reinvestment Period”, “Scheduled Reinvestment Period Termination Date”, “Final Maturity Date”, “Termination Date” and “Servicer Fee”, or in each case the defined terms used in such definition;</w:t>
      </w:r>
    </w:p>
    <w:p>
      <w:pPr>
        <w:sectPr>
          <w:pgSz w:w="11900" w:h="16838" w:orient="portrait"/>
          <w:cols w:equalWidth="0" w:num="1">
            <w:col w:w="11280"/>
          </w:cols>
          <w:pgMar w:left="300" w:top="1139" w:right="319" w:bottom="1440" w:gutter="0" w:footer="0" w:header="0"/>
        </w:sectPr>
      </w:pPr>
    </w:p>
    <w:p>
      <w:pPr>
        <w:spacing w:after="0" w:line="16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6"/>
          <w:szCs w:val="16"/>
          <w:color w:val="auto"/>
        </w:rPr>
        <w:t>ARTICLE 230.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(k)</w:t>
      </w:r>
      <w:r>
        <w:rPr>
          <w:sz w:val="20"/>
          <w:szCs w:val="20"/>
          <w:color w:val="auto"/>
        </w:rPr>
        <w:tab/>
      </w:r>
      <w:r>
        <w:rPr>
          <w:rFonts w:ascii="Times New Roman" w:cs="Times New Roman" w:eastAsia="Times New Roman" w:hAnsi="Times New Roman"/>
          <w:sz w:val="14"/>
          <w:szCs w:val="14"/>
          <w:color w:val="auto"/>
        </w:rPr>
        <w:t>extend the Reinvestment Period;</w:t>
      </w:r>
    </w:p>
    <w:p>
      <w:pPr>
        <w:spacing w:after="0" w:line="185" w:lineRule="exact"/>
        <w:rPr>
          <w:sz w:val="20"/>
          <w:szCs w:val="20"/>
          <w:color w:val="auto"/>
        </w:rPr>
      </w:pPr>
    </w:p>
    <w:p>
      <w:pPr>
        <w:sectPr>
          <w:pgSz w:w="11900" w:h="16838" w:orient="portrait"/>
          <w:cols w:equalWidth="0" w:num="2">
            <w:col w:w="1560" w:space="460"/>
            <w:col w:w="9260"/>
          </w:cols>
          <w:pgMar w:left="300" w:top="1139" w:right="319" w:bottom="1440" w:gutter="0" w:footer="0" w:header="0"/>
          <w:type w:val="continuous"/>
        </w:sectPr>
      </w:pPr>
    </w:p>
    <w:p>
      <w:pPr>
        <w:jc w:val="center"/>
        <w:ind w:left="520"/>
        <w:spacing w:after="0"/>
        <w:rPr>
          <w:sz w:val="20"/>
          <w:szCs w:val="20"/>
          <w:color w:val="auto"/>
        </w:rPr>
      </w:pPr>
      <w:r>
        <w:rPr>
          <w:rFonts w:ascii="Times New Roman" w:cs="Times New Roman" w:eastAsia="Times New Roman" w:hAnsi="Times New Roman"/>
          <w:sz w:val="16"/>
          <w:szCs w:val="16"/>
          <w:color w:val="auto"/>
        </w:rPr>
        <w:t>ARTICLE 231.</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(l)</w:t>
      </w:r>
      <w:r>
        <w:rPr>
          <w:sz w:val="20"/>
          <w:szCs w:val="20"/>
          <w:color w:val="auto"/>
        </w:rPr>
        <w:tab/>
      </w:r>
      <w:r>
        <w:rPr>
          <w:rFonts w:ascii="Times New Roman" w:cs="Times New Roman" w:eastAsia="Times New Roman" w:hAnsi="Times New Roman"/>
          <w:sz w:val="14"/>
          <w:szCs w:val="14"/>
          <w:color w:val="auto"/>
        </w:rPr>
        <w:t>release Navan from its obligations under the Limited Guaranty and Indemnity Agreement;</w:t>
      </w:r>
    </w:p>
    <w:p>
      <w:pPr>
        <w:spacing w:after="0" w:line="175" w:lineRule="exact"/>
        <w:rPr>
          <w:sz w:val="20"/>
          <w:szCs w:val="20"/>
          <w:color w:val="auto"/>
        </w:rPr>
      </w:pPr>
    </w:p>
    <w:p>
      <w:pPr>
        <w:sectPr>
          <w:pgSz w:w="11900" w:h="16838" w:orient="portrait"/>
          <w:cols w:equalWidth="0" w:num="2">
            <w:col w:w="1560" w:space="460"/>
            <w:col w:w="9260"/>
          </w:cols>
          <w:pgMar w:left="300" w:top="1139" w:right="319" w:bottom="1440" w:gutter="0" w:footer="0" w:header="0"/>
          <w:type w:val="continuous"/>
        </w:sectPr>
      </w:pPr>
    </w:p>
    <w:p>
      <w:pPr>
        <w:jc w:val="center"/>
        <w:ind w:left="520"/>
        <w:spacing w:after="0"/>
        <w:rPr>
          <w:sz w:val="20"/>
          <w:szCs w:val="20"/>
          <w:color w:val="auto"/>
        </w:rPr>
      </w:pPr>
      <w:r>
        <w:rPr>
          <w:rFonts w:ascii="Times New Roman" w:cs="Times New Roman" w:eastAsia="Times New Roman" w:hAnsi="Times New Roman"/>
          <w:sz w:val="16"/>
          <w:szCs w:val="16"/>
          <w:color w:val="auto"/>
        </w:rPr>
        <w:t>ARTICLE 232.</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(m)</w:t>
      </w:r>
      <w:r>
        <w:rPr>
          <w:sz w:val="20"/>
          <w:szCs w:val="20"/>
          <w:color w:val="auto"/>
        </w:rPr>
        <w:tab/>
      </w:r>
      <w:r>
        <w:rPr>
          <w:rFonts w:ascii="Times New Roman" w:cs="Times New Roman" w:eastAsia="Times New Roman" w:hAnsi="Times New Roman"/>
          <w:sz w:val="14"/>
          <w:szCs w:val="14"/>
          <w:color w:val="auto"/>
        </w:rPr>
        <w:t>terminate or remove Seller’s obligations to repurchase Receivables pursuant to the Receivables Purchase Agreement; or</w:t>
      </w:r>
    </w:p>
    <w:p>
      <w:pPr>
        <w:spacing w:after="0" w:line="185" w:lineRule="exact"/>
        <w:rPr>
          <w:sz w:val="20"/>
          <w:szCs w:val="20"/>
          <w:color w:val="auto"/>
        </w:rPr>
      </w:pPr>
    </w:p>
    <w:p>
      <w:pPr>
        <w:sectPr>
          <w:pgSz w:w="11900" w:h="16838" w:orient="portrait"/>
          <w:cols w:equalWidth="0" w:num="2">
            <w:col w:w="1560" w:space="460"/>
            <w:col w:w="9260"/>
          </w:cols>
          <w:pgMar w:left="300" w:top="1139" w:right="319" w:bottom="1440" w:gutter="0" w:footer="0" w:header="0"/>
          <w:type w:val="continuous"/>
        </w:sectPr>
      </w:pPr>
    </w:p>
    <w:p>
      <w:pPr>
        <w:jc w:val="center"/>
        <w:ind w:left="520"/>
        <w:spacing w:after="0"/>
        <w:rPr>
          <w:sz w:val="20"/>
          <w:szCs w:val="20"/>
          <w:color w:val="auto"/>
        </w:rPr>
      </w:pPr>
      <w:r>
        <w:rPr>
          <w:rFonts w:ascii="Times New Roman" w:cs="Times New Roman" w:eastAsia="Times New Roman" w:hAnsi="Times New Roman"/>
          <w:sz w:val="16"/>
          <w:szCs w:val="16"/>
          <w:color w:val="auto"/>
        </w:rPr>
        <w:t>ARTICLE 233.</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(n)</w:t>
      </w:r>
      <w:r>
        <w:rPr>
          <w:sz w:val="20"/>
          <w:szCs w:val="20"/>
          <w:color w:val="auto"/>
        </w:rPr>
        <w:tab/>
      </w:r>
      <w:r>
        <w:rPr>
          <w:rFonts w:ascii="Times New Roman" w:cs="Times New Roman" w:eastAsia="Times New Roman" w:hAnsi="Times New Roman"/>
          <w:sz w:val="14"/>
          <w:szCs w:val="14"/>
          <w:color w:val="auto"/>
        </w:rPr>
        <w:t>change the currency required for payments of Obligations under this Agreement;</w:t>
      </w:r>
    </w:p>
    <w:p>
      <w:pPr>
        <w:spacing w:after="0" w:line="175" w:lineRule="exact"/>
        <w:rPr>
          <w:sz w:val="20"/>
          <w:szCs w:val="20"/>
          <w:color w:val="auto"/>
        </w:rPr>
      </w:pPr>
    </w:p>
    <w:p>
      <w:pPr>
        <w:sectPr>
          <w:pgSz w:w="11900" w:h="16838" w:orient="portrait"/>
          <w:cols w:equalWidth="0" w:num="2">
            <w:col w:w="1560" w:space="460"/>
            <w:col w:w="9260"/>
          </w:cols>
          <w:pgMar w:left="300" w:top="1139" w:right="319" w:bottom="1440" w:gutter="0" w:footer="0" w:header="0"/>
          <w:type w:val="continuous"/>
        </w:sectPr>
      </w:pPr>
    </w:p>
    <w:p>
      <w:pPr>
        <w:jc w:val="center"/>
        <w:ind w:left="520"/>
        <w:spacing w:after="0"/>
        <w:rPr>
          <w:sz w:val="20"/>
          <w:szCs w:val="20"/>
          <w:color w:val="auto"/>
        </w:rPr>
      </w:pPr>
      <w:r>
        <w:rPr>
          <w:rFonts w:ascii="Times New Roman" w:cs="Times New Roman" w:eastAsia="Times New Roman" w:hAnsi="Times New Roman"/>
          <w:sz w:val="16"/>
          <w:szCs w:val="16"/>
          <w:color w:val="auto"/>
        </w:rPr>
        <w:t>ARTICLE 234.</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(o)</w:t>
      </w:r>
      <w:r>
        <w:rPr>
          <w:sz w:val="20"/>
          <w:szCs w:val="20"/>
          <w:color w:val="auto"/>
        </w:rPr>
        <w:tab/>
      </w:r>
      <w:r>
        <w:rPr>
          <w:rFonts w:ascii="Times New Roman" w:cs="Times New Roman" w:eastAsia="Times New Roman" w:hAnsi="Times New Roman"/>
          <w:sz w:val="14"/>
          <w:szCs w:val="14"/>
          <w:color w:val="auto"/>
        </w:rPr>
        <w:t>release any claims accruing to the Lenders as secured parties hereunder or under Applicable Laws; or</w:t>
      </w:r>
    </w:p>
    <w:p>
      <w:pPr>
        <w:spacing w:after="0" w:line="185" w:lineRule="exact"/>
        <w:rPr>
          <w:sz w:val="20"/>
          <w:szCs w:val="20"/>
          <w:color w:val="auto"/>
        </w:rPr>
      </w:pPr>
    </w:p>
    <w:p>
      <w:pPr>
        <w:sectPr>
          <w:pgSz w:w="11900" w:h="16838" w:orient="portrait"/>
          <w:cols w:equalWidth="0" w:num="2">
            <w:col w:w="1560" w:space="460"/>
            <w:col w:w="9260"/>
          </w:cols>
          <w:pgMar w:left="300" w:top="1139" w:right="319" w:bottom="1440" w:gutter="0" w:footer="0" w:header="0"/>
          <w:type w:val="continuous"/>
        </w:sectPr>
      </w:pPr>
    </w:p>
    <w:p>
      <w:pPr>
        <w:ind w:left="520"/>
        <w:spacing w:after="0"/>
        <w:tabs>
          <w:tab w:leader="none" w:pos="2000" w:val="left"/>
          <w:tab w:leader="none" w:pos="2360" w:val="left"/>
        </w:tabs>
        <w:rPr>
          <w:sz w:val="20"/>
          <w:szCs w:val="20"/>
          <w:color w:val="auto"/>
        </w:rPr>
      </w:pPr>
      <w:r>
        <w:rPr>
          <w:rFonts w:ascii="Times New Roman" w:cs="Times New Roman" w:eastAsia="Times New Roman" w:hAnsi="Times New Roman"/>
          <w:sz w:val="17"/>
          <w:szCs w:val="17"/>
          <w:color w:val="auto"/>
        </w:rPr>
        <w:t>ARTICLE 235.</w:t>
      </w:r>
      <w:r>
        <w:rPr>
          <w:sz w:val="20"/>
          <w:szCs w:val="20"/>
          <w:color w:val="auto"/>
        </w:rPr>
        <w:tab/>
      </w:r>
      <w:r>
        <w:rPr>
          <w:rFonts w:ascii="Times New Roman" w:cs="Times New Roman" w:eastAsia="Times New Roman" w:hAnsi="Times New Roman"/>
          <w:sz w:val="16"/>
          <w:szCs w:val="16"/>
          <w:color w:val="auto"/>
        </w:rPr>
        <w:t>(p)</w:t>
      </w:r>
      <w:r>
        <w:rPr>
          <w:sz w:val="20"/>
          <w:szCs w:val="20"/>
          <w:color w:val="auto"/>
        </w:rPr>
        <w:tab/>
      </w:r>
      <w:r>
        <w:rPr>
          <w:rFonts w:ascii="Times New Roman" w:cs="Times New Roman" w:eastAsia="Times New Roman" w:hAnsi="Times New Roman"/>
          <w:sz w:val="14"/>
          <w:szCs w:val="14"/>
          <w:color w:val="auto"/>
        </w:rPr>
        <w:t>increase the “Class A Margin”, “Class A Draw Fee”, “Class A Minimum Utilization Amount”, “Class A Minimum Utilization Fee”, “Class A</w:t>
      </w:r>
    </w:p>
    <w:p>
      <w:pPr>
        <w:sectPr>
          <w:pgSz w:w="11900" w:h="16838" w:orient="portrait"/>
          <w:cols w:equalWidth="0" w:num="1">
            <w:col w:w="11280"/>
          </w:cols>
          <w:pgMar w:left="300" w:top="1139" w:right="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Unused Fees”, “Class A Unused Fee Rate”;</w:t>
      </w:r>
    </w:p>
    <w:p>
      <w:pPr>
        <w:spacing w:after="0" w:line="15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236.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Funded Indebtedness</w:t>
      </w:r>
      <w:r>
        <w:rPr>
          <w:rFonts w:ascii="Times New Roman" w:cs="Times New Roman" w:eastAsia="Times New Roman" w:hAnsi="Times New Roman"/>
          <w:sz w:val="15"/>
          <w:szCs w:val="15"/>
          <w:color w:val="auto"/>
        </w:rPr>
        <w:t>” means, in respect of a Person, Indebtedness of the type described in clauses (i), (ii), (iii) (but only in respect of drawn letters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credit), (iv), (v), (vi), (vii) and (x) of the definition of “Indebtedness” and, without duplication, all Guarantees of such Person of the Indebtedness of others in respect of such types of Indebtedness.</w:t>
      </w:r>
    </w:p>
    <w:p>
      <w:pPr>
        <w:spacing w:after="0" w:line="3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237.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Funding Account</w:t>
      </w:r>
      <w:r>
        <w:rPr>
          <w:rFonts w:ascii="Times New Roman" w:cs="Times New Roman" w:eastAsia="Times New Roman" w:hAnsi="Times New Roman"/>
          <w:sz w:val="14"/>
          <w:szCs w:val="14"/>
          <w:color w:val="auto"/>
        </w:rPr>
        <w:t>” means a deposit account directed by the Borrower to the Administrative Agent in writing (email is acceptable).</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238.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GAAP</w:t>
      </w:r>
      <w:r>
        <w:rPr>
          <w:rFonts w:ascii="Times New Roman" w:cs="Times New Roman" w:eastAsia="Times New Roman" w:hAnsi="Times New Roman"/>
          <w:sz w:val="14"/>
          <w:szCs w:val="14"/>
          <w:color w:val="auto"/>
        </w:rPr>
        <w:t>” means generally accepted accounting principles in effect from time to time in the United States of America.</w:t>
      </w:r>
    </w:p>
    <w:p>
      <w:pPr>
        <w:spacing w:after="0" w:line="17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239.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GBP Collection Account</w:t>
      </w:r>
      <w:r>
        <w:rPr>
          <w:rFonts w:ascii="Times New Roman" w:cs="Times New Roman" w:eastAsia="Times New Roman" w:hAnsi="Times New Roman"/>
          <w:sz w:val="15"/>
          <w:szCs w:val="15"/>
          <w:color w:val="auto"/>
        </w:rPr>
        <w:t>” means the account established at the English Account Bank in the name of the Borrower for the purpose of receiving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Collections denominated in British Pounds, which account has been designated as the “GBP Collection Account” and which shall at all times be the subject of an English Deed of Charge.</w:t>
      </w:r>
    </w:p>
    <w:p>
      <w:pPr>
        <w:spacing w:after="0" w:line="3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240.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Governmental Authority</w:t>
      </w:r>
      <w:r>
        <w:rPr>
          <w:rFonts w:ascii="Times New Roman" w:cs="Times New Roman" w:eastAsia="Times New Roman" w:hAnsi="Times New Roman"/>
          <w:sz w:val="15"/>
          <w:szCs w:val="15"/>
          <w:color w:val="auto"/>
        </w:rPr>
        <w:t>” means any nation or government, any state or other political subdivision thereof, any agency, authority, instrumentality,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regulatory body, quasi regulatory authority, administrative tribunal, central bank, public office, court, arbitration or mediation</w:t>
      </w:r>
    </w:p>
    <w:p>
      <w:pPr>
        <w:sectPr>
          <w:pgSz w:w="11900" w:h="16838" w:orient="portrait"/>
          <w:cols w:equalWidth="0" w:num="1">
            <w:col w:w="11280"/>
          </w:cols>
          <w:pgMar w:left="300" w:top="1139" w:right="319" w:bottom="1440" w:gutter="0" w:footer="0" w:header="0"/>
          <w:type w:val="continuous"/>
        </w:sectPr>
      </w:pPr>
    </w:p>
    <w:bookmarkStart w:id="229" w:name="page230"/>
    <w:bookmarkEnd w:id="229"/>
    <w:p>
      <w:pPr>
        <w:jc w:val="both"/>
        <w:spacing w:after="0" w:line="254" w:lineRule="auto"/>
        <w:rPr>
          <w:sz w:val="20"/>
          <w:szCs w:val="20"/>
          <w:color w:val="auto"/>
        </w:rPr>
      </w:pPr>
      <w:r>
        <w:rPr>
          <w:rFonts w:ascii="Times New Roman" w:cs="Times New Roman" w:eastAsia="Times New Roman" w:hAnsi="Times New Roman"/>
          <w:sz w:val="16"/>
          <w:szCs w:val="16"/>
          <w:color w:val="auto"/>
        </w:rPr>
        <w:t>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5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ARTICLE 241.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Governmental Authorizations</w:t>
      </w:r>
      <w:r>
        <w:rPr>
          <w:rFonts w:ascii="Times New Roman" w:cs="Times New Roman" w:eastAsia="Times New Roman" w:hAnsi="Times New Roman"/>
          <w:sz w:val="15"/>
          <w:szCs w:val="15"/>
          <w:color w:val="auto"/>
        </w:rPr>
        <w:t>” means all franchises, permits, licenses, approvals, consents and other authorizations of all Governmental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Authorities.</w:t>
      </w:r>
    </w:p>
    <w:p>
      <w:pPr>
        <w:spacing w:after="0" w:line="365"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242.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Governmental Filings</w:t>
      </w:r>
      <w:r>
        <w:rPr>
          <w:rFonts w:ascii="Times New Roman" w:cs="Times New Roman" w:eastAsia="Times New Roman" w:hAnsi="Times New Roman"/>
          <w:sz w:val="15"/>
          <w:szCs w:val="15"/>
          <w:color w:val="auto"/>
        </w:rPr>
        <w:t>” means all filings, including franchise and similar tax filings, and the payment of all fees, assessments, interests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penalties associated with such filings with all Governmental Authorities. For the avoidance of doubt, “Governmental Filings” do not include filings of financing statements under the UCC or comparable laws.</w:t>
      </w:r>
    </w:p>
    <w:p>
      <w:pPr>
        <w:spacing w:after="0" w:line="3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243.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GS Bank</w:t>
      </w:r>
      <w:r>
        <w:rPr>
          <w:rFonts w:ascii="Times New Roman" w:cs="Times New Roman" w:eastAsia="Times New Roman" w:hAnsi="Times New Roman"/>
          <w:sz w:val="14"/>
          <w:szCs w:val="14"/>
          <w:color w:val="auto"/>
        </w:rPr>
        <w:t>” has the meaning specified in the preamble to this Agreement.</w:t>
      </w:r>
    </w:p>
    <w:p>
      <w:pPr>
        <w:spacing w:after="0" w:line="17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244.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Guarantee</w:t>
      </w:r>
      <w:r>
        <w:rPr>
          <w:rFonts w:ascii="Times New Roman" w:cs="Times New Roman" w:eastAsia="Times New Roman" w:hAnsi="Times New Roman"/>
          <w:sz w:val="15"/>
          <w:szCs w:val="15"/>
          <w:color w:val="auto"/>
        </w:rPr>
        <w:t>” means any obligation, contingent or otherwise, of or by any Person (the “</w:t>
      </w:r>
      <w:r>
        <w:rPr>
          <w:rFonts w:ascii="Times New Roman" w:cs="Times New Roman" w:eastAsia="Times New Roman" w:hAnsi="Times New Roman"/>
          <w:sz w:val="15"/>
          <w:szCs w:val="15"/>
          <w:i w:val="1"/>
          <w:iCs w:val="1"/>
          <w:color w:val="auto"/>
        </w:rPr>
        <w:t>guarantor</w:t>
      </w:r>
      <w:r>
        <w:rPr>
          <w:rFonts w:ascii="Times New Roman" w:cs="Times New Roman" w:eastAsia="Times New Roman" w:hAnsi="Times New Roman"/>
          <w:sz w:val="15"/>
          <w:szCs w:val="15"/>
          <w:color w:val="auto"/>
        </w:rPr>
        <w:t>”) guaranteeing or having the economic effect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guaranteeing any indebtedness or other obligation of any other Person (the “</w:t>
      </w:r>
      <w:r>
        <w:rPr>
          <w:rFonts w:ascii="Times New Roman" w:cs="Times New Roman" w:eastAsia="Times New Roman" w:hAnsi="Times New Roman"/>
          <w:sz w:val="15"/>
          <w:szCs w:val="15"/>
          <w:i w:val="1"/>
          <w:iCs w:val="1"/>
          <w:color w:val="auto"/>
        </w:rPr>
        <w:t>primary obligor</w:t>
      </w:r>
      <w:r>
        <w:rPr>
          <w:rFonts w:ascii="Times New Roman" w:cs="Times New Roman" w:eastAsia="Times New Roman" w:hAnsi="Times New Roman"/>
          <w:sz w:val="15"/>
          <w:szCs w:val="15"/>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w:t>
      </w:r>
    </w:p>
    <w:p>
      <w:pPr>
        <w:spacing w:after="0" w:line="34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245.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Hedging Obligations</w:t>
      </w:r>
      <w:r>
        <w:rPr>
          <w:rFonts w:ascii="Times New Roman" w:cs="Times New Roman" w:eastAsia="Times New Roman" w:hAnsi="Times New Roman"/>
          <w:sz w:val="15"/>
          <w:szCs w:val="15"/>
          <w:color w:val="auto"/>
        </w:rPr>
        <w:t>” means, with respect to any specified Person, the obligations, whether contingent or matured, of such Person under: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interest rate swap agreements (whether from fixed to floating or from floating to fixed), interest rate cap agreements and interest rate collar agreements; (ii) other agreements or arrangements designed to manage interest rates or interest rate risk; and (iii) other agreements or arrangements designed to protect such Person against fluctuations in currency exchange rates or commodity prices.</w:t>
      </w:r>
    </w:p>
    <w:p>
      <w:pPr>
        <w:spacing w:after="0" w:line="34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246.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High Risk Tier</w:t>
      </w:r>
      <w:r>
        <w:rPr>
          <w:rFonts w:ascii="Times New Roman" w:cs="Times New Roman" w:eastAsia="Times New Roman" w:hAnsi="Times New Roman"/>
          <w:sz w:val="15"/>
          <w:szCs w:val="15"/>
          <w:color w:val="auto"/>
        </w:rPr>
        <w:t>” means, with respect to an Obligor and pursuant to the Liquid Credit Risk Management Procedures, the lowest underwriting tier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listing such Obligor as high risk derived from underwriting companies via their underwriting scorecard and as reflected on the Data Tape.</w:t>
      </w:r>
    </w:p>
    <w:p>
      <w:pPr>
        <w:spacing w:after="0" w:line="13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247.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Indebtedness</w:t>
      </w:r>
      <w:r>
        <w:rPr>
          <w:rFonts w:ascii="Times New Roman" w:cs="Times New Roman" w:eastAsia="Times New Roman" w:hAnsi="Times New Roman"/>
          <w:sz w:val="15"/>
          <w:szCs w:val="15"/>
          <w:color w:val="auto"/>
        </w:rPr>
        <w:t>” means, with respect to any Person, without duplication, (i) all obligations of such Person for borrowed money or with respect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deposits or advances of any kind, (ii)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(iii) all reimbursement or payment obligations with respect to amounts paid</w:t>
      </w:r>
    </w:p>
    <w:p>
      <w:pPr>
        <w:sectPr>
          <w:pgSz w:w="11900" w:h="16838" w:orient="portrait"/>
          <w:cols w:equalWidth="0" w:num="1">
            <w:col w:w="11280"/>
          </w:cols>
          <w:pgMar w:left="300" w:top="1139" w:right="319" w:bottom="1440" w:gutter="0" w:footer="0" w:header="0"/>
        </w:sectPr>
      </w:pPr>
    </w:p>
    <w:bookmarkStart w:id="230" w:name="page231"/>
    <w:bookmarkEnd w:id="230"/>
    <w:p>
      <w:pPr>
        <w:jc w:val="both"/>
        <w:spacing w:after="0" w:line="282" w:lineRule="auto"/>
        <w:rPr>
          <w:sz w:val="20"/>
          <w:szCs w:val="20"/>
          <w:color w:val="auto"/>
        </w:rPr>
      </w:pPr>
      <w:r>
        <w:rPr>
          <w:rFonts w:ascii="Times New Roman" w:cs="Times New Roman" w:eastAsia="Times New Roman" w:hAnsi="Times New Roman"/>
          <w:sz w:val="14"/>
          <w:szCs w:val="14"/>
          <w:color w:val="auto"/>
        </w:rPr>
        <w:t>under letters of credit, surety bonds and other similar instruments, (iv) all obligations evidenced by bonds, debentures, notes or similar instruments (whether convertible or not),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(vi) all indebtedness of others secured by (or for which the holder of such indebtedness has an existing right, contingent or otherwise, to be secured by) any mortgage, lien, pledge, charge, encumbrance or security interest of any kind upon or in any property or assets (including accounts and contract rights) owned or acquired by any Person, even though the Person which owns such assets or property has not assumed or become liable for the payment of such indebtedness, (vii) all obligations of such Person upon which interest charges are customarily paid;</w:t>
      </w:r>
    </w:p>
    <w:p>
      <w:pPr>
        <w:spacing w:after="0" w:line="1" w:lineRule="exact"/>
        <w:rPr>
          <w:sz w:val="20"/>
          <w:szCs w:val="20"/>
          <w:color w:val="auto"/>
        </w:rPr>
      </w:pPr>
    </w:p>
    <w:p>
      <w:pPr>
        <w:jc w:val="both"/>
        <w:ind w:firstLine="5"/>
        <w:spacing w:after="0" w:line="244" w:lineRule="auto"/>
        <w:tabs>
          <w:tab w:leader="none" w:pos="35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contingent or otherwise, of such Person in respect of banker’s acceptances; (ix) all obligations of such Person in respect of the deferred purchase price of any property or services (excluding current accounts payable incurred in the ordinary course of business); (x) Hedging Obligations; (xi) all obligations, contingent or otherwise, of such Person to risk participate in loans, letters or credit or other extensions of credit, including the obligation to fund a collateral or participation account or otherwise provide collateral to secure a risk participation obligation and (xii) all Guarantees by such Person of the Indebtedness of others.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 addition, the term “Indebtedness” with respect to Navan includes (a) all Indebtedness of others secured by a Lien on any assets of Navan or any of its Subsidiaries (whether or not such Indebtedness is assumed by Navan), and (b) to the extent not otherwise included, the guarantee by Navan of any Indebtedness of any other Person.</w:t>
      </w:r>
    </w:p>
    <w:p>
      <w:pPr>
        <w:spacing w:after="0" w:line="15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248.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Indemnified Party</w:t>
      </w:r>
      <w:r>
        <w:rPr>
          <w:rFonts w:ascii="Times New Roman" w:cs="Times New Roman" w:eastAsia="Times New Roman" w:hAnsi="Times New Roman"/>
          <w:sz w:val="14"/>
          <w:szCs w:val="14"/>
          <w:color w:val="auto"/>
        </w:rPr>
        <w:t>” has the meaning specified in Section 12.04(b).</w:t>
      </w:r>
    </w:p>
    <w:p>
      <w:pPr>
        <w:spacing w:after="0" w:line="18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249.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Indemnified Taxes</w:t>
      </w:r>
      <w:r>
        <w:rPr>
          <w:rFonts w:ascii="Times New Roman" w:cs="Times New Roman" w:eastAsia="Times New Roman" w:hAnsi="Times New Roman"/>
          <w:sz w:val="15"/>
          <w:szCs w:val="15"/>
          <w:color w:val="auto"/>
        </w:rPr>
        <w:t>” means (a) Taxes, other than Excluded Taxes, imposed on or with respect to any payment made by or on account of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obligation of the Borrower under any Facility Document and (b) to the extent not otherwise described in (a), Other Taxes.</w:t>
      </w:r>
    </w:p>
    <w:p>
      <w:pPr>
        <w:spacing w:after="0" w:line="11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250.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Independent Manager</w:t>
      </w:r>
      <w:r>
        <w:rPr>
          <w:rFonts w:ascii="Times New Roman" w:cs="Times New Roman" w:eastAsia="Times New Roman" w:hAnsi="Times New Roman"/>
          <w:sz w:val="15"/>
          <w:szCs w:val="15"/>
          <w:color w:val="auto"/>
        </w:rPr>
        <w:t>” means an individual who is natural person and who: (i) for the five-year period prior to such person’s appointment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Independent Manager has not been, and during the continuation of such person’s service as Independent Manager is not: (A) an employee, director, stockholder, member, manager, partner or officer of Navan or any of its Affiliates (other than such person’s service as an Independent Manager of or Special Member to the Borrower); (B) a customer or supplier of Navan or any of its Affiliates (other than such person’s service as an Independent Manager of or Special Member to the Borrower); or (C) any member of the immediate family of a person described in the foregoing clause (A) or (B); and (ii) has (A) prior experience as an Independent Manager for a corporation or limited liability company whose charter or organizational documents required the unanimous consent of all Independent Managers thereof before such corporation or limited liability company could consent to the institution of bankruptcy or insolvency proceedings against it or could file a petition seeking relief under any applicable federal or state law relating to bankruptcy; and (B) at least three years of employment experience with one or more entities that provide, in the ordinary course of their respective businesses, advisory, management or placement services (including providing</w:t>
      </w:r>
    </w:p>
    <w:p>
      <w:pPr>
        <w:sectPr>
          <w:pgSz w:w="11900" w:h="16838" w:orient="portrait"/>
          <w:cols w:equalWidth="0" w:num="1">
            <w:col w:w="11280"/>
          </w:cols>
          <w:pgMar w:left="300" w:top="1139" w:right="3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color w:val="auto"/>
        </w:rPr>
        <w:t>independent managers or Managers) to issuers of securitization or structured finance instruments, agreements or securities.</w:t>
      </w:r>
    </w:p>
    <w:p>
      <w:pPr>
        <w:spacing w:after="0" w:line="1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ARTICLE 251.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Industry</w:t>
      </w:r>
      <w:r>
        <w:rPr>
          <w:rFonts w:ascii="Times New Roman" w:cs="Times New Roman" w:eastAsia="Times New Roman" w:hAnsi="Times New Roman"/>
          <w:sz w:val="15"/>
          <w:szCs w:val="15"/>
          <w:color w:val="auto"/>
        </w:rPr>
        <w:t>” means, with respect to any Obligor, the 2-digit Standard Industrial Classification industry code under which such Obligor has been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classified.</w:t>
      </w:r>
    </w:p>
    <w:p>
      <w:pPr>
        <w:spacing w:after="0" w:line="36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252.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Ineligible Receivable</w:t>
      </w:r>
      <w:r>
        <w:rPr>
          <w:rFonts w:ascii="Times New Roman" w:cs="Times New Roman" w:eastAsia="Times New Roman" w:hAnsi="Times New Roman"/>
          <w:sz w:val="14"/>
          <w:szCs w:val="14"/>
          <w:color w:val="auto"/>
        </w:rPr>
        <w:t>” means, as of any date of determination, any Receivable that is not an Eligible Receivable on such date.</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253.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has the meaning specified in Section 13.03(b).</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254.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Initial Account</w:t>
      </w:r>
      <w:r>
        <w:rPr>
          <w:rFonts w:ascii="Times New Roman" w:cs="Times New Roman" w:eastAsia="Times New Roman" w:hAnsi="Times New Roman"/>
          <w:sz w:val="14"/>
          <w:szCs w:val="14"/>
          <w:color w:val="auto"/>
        </w:rPr>
        <w:t>” has the meaning given to such term in the Receivables Purchase Agreement.</w:t>
      </w:r>
    </w:p>
    <w:p>
      <w:pPr>
        <w:spacing w:after="0" w:line="18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255.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Insolvency Event</w:t>
      </w:r>
      <w:r>
        <w:rPr>
          <w:rFonts w:ascii="Times New Roman" w:cs="Times New Roman" w:eastAsia="Times New Roman" w:hAnsi="Times New Roman"/>
          <w:sz w:val="15"/>
          <w:szCs w:val="15"/>
          <w:color w:val="auto"/>
        </w:rPr>
        <w:t>” means, with respect to a Person (i) such Person shall fail generally to pay its debts as they come due, or shall make a general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assignment for the benefit of creditors; or any case or other proceeding shall be instituted by such Person seeking to adjudicate it as bankrupt or insolvent, or seeking liquidation, reorganization, debt arrangement, dissolution, winding up, or composition or readjustment of debts of it or its debts under the Bankruptcy Code or any other law relating to bankruptcy, insolvency, reorganization, winding up or composition or adjustment of debts, or seeking the entry of an order for relief or the appointment of a trustee, receiver, custodian, liquidator, assignee, sequestrator or the like for such Person or all or substantially all of its assets; or such Person shall take any corporate or limited liability company action to authorize any of such actions; or (ii)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 (A) such case or proceeding shall continue undismissed, or unstayed and in effect, for a period of sixty (60) consecutive days or (B) an order for relief in respect of such Person shall be entered in such case or proceeding or a decree or order granting such other requested relief shall be entered.</w:t>
      </w:r>
    </w:p>
    <w:p>
      <w:pPr>
        <w:spacing w:after="0" w:line="331"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256.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means, at any time, the sum of the Class A Interest at such time and the Class B Interest at such time.</w:t>
      </w:r>
    </w:p>
    <w:p>
      <w:pPr>
        <w:spacing w:after="0" w:line="18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257.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Interest Accrual Period</w:t>
      </w:r>
      <w:r>
        <w:rPr>
          <w:rFonts w:ascii="Times New Roman" w:cs="Times New Roman" w:eastAsia="Times New Roman" w:hAnsi="Times New Roman"/>
          <w:sz w:val="15"/>
          <w:szCs w:val="15"/>
          <w:color w:val="auto"/>
        </w:rPr>
        <w:t>” means, with respect to each Advance (or portion thereof) and a Payment Date, the immediately preceding Collection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Period (or, in the case of the first Payment Date, from and including the initial Borrowing Date to and including December 31, 2022);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 the final Interest Accrual Period for all outstanding Advances hereunder shall end on and include the day prior to the payment in full of the Advances hereunder; (ii) any Interest Accrual Period which would otherwise end on a day which is not a Business Day shall be extended to the next succeeding Business Day; and (iii) in the case of any Interest Accrual Period which commences before an Event of Default and would otherwise end on a date occurring after the occurrence of an Event of Default, the Administrative Agent may, in its sole discretion, cause such Interest Accrual Period to end, and a new Interest Accrual Period to commence, upon the occurrence of an Event of Default and the duration of</w:t>
      </w:r>
    </w:p>
    <w:p>
      <w:pPr>
        <w:sectPr>
          <w:pgSz w:w="11900" w:h="16838" w:orient="portrait"/>
          <w:cols w:equalWidth="0" w:num="1">
            <w:col w:w="11280"/>
          </w:cols>
          <w:pgMar w:left="300" w:top="1139" w:right="3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color w:val="auto"/>
        </w:rPr>
        <w:t>each Interest Accrual Period which commences on or after the occurrence of an Event of Default shall be of such duration as selected by the Administrative Agent.</w:t>
      </w:r>
    </w:p>
    <w:p>
      <w:pPr>
        <w:spacing w:after="0" w:line="18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258.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Investment Company Act</w:t>
      </w:r>
      <w:r>
        <w:rPr>
          <w:rFonts w:ascii="Times New Roman" w:cs="Times New Roman" w:eastAsia="Times New Roman" w:hAnsi="Times New Roman"/>
          <w:sz w:val="15"/>
          <w:szCs w:val="15"/>
          <w:color w:val="auto"/>
        </w:rPr>
        <w:t>” means the Investment Company Act of 1940, and the rules and regulations promulgated thereunder, all as from time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time in effect, or any successor law, rules or regulations, and any reference to any statutory or regulatory provision shall be deemed to be a reference to any successor statutory or regulatory provision.</w:t>
      </w:r>
    </w:p>
    <w:p>
      <w:pPr>
        <w:spacing w:after="0" w:line="13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259.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IRS</w:t>
      </w:r>
      <w:r>
        <w:rPr>
          <w:rFonts w:ascii="Times New Roman" w:cs="Times New Roman" w:eastAsia="Times New Roman" w:hAnsi="Times New Roman"/>
          <w:sz w:val="14"/>
          <w:szCs w:val="14"/>
          <w:color w:val="auto"/>
        </w:rPr>
        <w:t>” means the United States Internal Revenue Service.</w:t>
      </w:r>
    </w:p>
    <w:p>
      <w:pPr>
        <w:spacing w:after="0" w:line="18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260.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ISDA Definitions</w:t>
      </w:r>
      <w:r>
        <w:rPr>
          <w:rFonts w:ascii="Times New Roman" w:cs="Times New Roman" w:eastAsia="Times New Roman" w:hAnsi="Times New Roman"/>
          <w:sz w:val="15"/>
          <w:szCs w:val="15"/>
          <w:color w:val="auto"/>
        </w:rPr>
        <w:t>” means the 2006 ISDA Definitions published by the International Swaps and Derivatives Association, Inc. or any successor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thereto, as amended or supplemented from time to time, or any successor definitional booklet for interest rate derivatives published from time to time.</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261.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Law</w:t>
      </w:r>
      <w:r>
        <w:rPr>
          <w:rFonts w:ascii="Times New Roman" w:cs="Times New Roman" w:eastAsia="Times New Roman" w:hAnsi="Times New Roman"/>
          <w:sz w:val="15"/>
          <w:szCs w:val="15"/>
          <w:color w:val="auto"/>
        </w:rPr>
        <w:t>” means any action, code, consent decree, constitution, decree, directive, enactment, finding, guideline, law, injunction, interpretation,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4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 xml:space="preserve">ARTICLE 262.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Lender</w:t>
      </w:r>
      <w:r>
        <w:rPr>
          <w:rFonts w:ascii="Times New Roman" w:cs="Times New Roman" w:eastAsia="Times New Roman" w:hAnsi="Times New Roman"/>
          <w:sz w:val="15"/>
          <w:szCs w:val="15"/>
          <w:color w:val="auto"/>
        </w:rPr>
        <w:t>” means any Class A Lender or Class B Lender, as applicable, and “Lenders” means, collectively, the Class A Lenders and the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Lenders.</w:t>
      </w:r>
    </w:p>
    <w:p>
      <w:pPr>
        <w:spacing w:after="0" w:line="360"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263.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Letter Agreement</w:t>
      </w:r>
      <w:r>
        <w:rPr>
          <w:rFonts w:ascii="Times New Roman" w:cs="Times New Roman" w:eastAsia="Times New Roman" w:hAnsi="Times New Roman"/>
          <w:sz w:val="15"/>
          <w:szCs w:val="15"/>
          <w:color w:val="auto"/>
        </w:rPr>
        <w:t>” means a letter agreement dated as of the Amendment No. 4 Effective Date, between Navan and the Borrower relating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Currency conversions and the movement of any Collections denominated in a Currency other than Dollars.</w:t>
      </w:r>
    </w:p>
    <w:p>
      <w:pPr>
        <w:spacing w:after="0" w:line="11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 xml:space="preserve">ARTICLE 264.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Level I Trigger Event</w:t>
      </w:r>
      <w:r>
        <w:rPr>
          <w:rFonts w:ascii="Times New Roman" w:cs="Times New Roman" w:eastAsia="Times New Roman" w:hAnsi="Times New Roman"/>
          <w:sz w:val="15"/>
          <w:szCs w:val="15"/>
          <w:color w:val="auto"/>
        </w:rPr>
        <w:t>” means the occurrence of any of the following events, unless the Borrower or Navan has requested, and the 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Agent (acting at the direction of the Required Lenders and the Required Class B Lenders) have agreed in writing, to waive the occurrence of such event or revise the applicable threshold:</w:t>
      </w:r>
    </w:p>
    <w:p>
      <w:pPr>
        <w:spacing w:after="0" w:line="335" w:lineRule="exact"/>
        <w:rPr>
          <w:sz w:val="20"/>
          <w:szCs w:val="20"/>
          <w:color w:val="auto"/>
        </w:rPr>
      </w:pPr>
    </w:p>
    <w:p>
      <w:pPr>
        <w:ind w:left="1540" w:hanging="517"/>
        <w:spacing w:after="0"/>
        <w:tabs>
          <w:tab w:leader="none" w:pos="15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on any Determination Date, the Three-Month Rolling Average Delinquency Ratio is greater than 3.00%; or</w:t>
      </w:r>
    </w:p>
    <w:p>
      <w:pPr>
        <w:spacing w:after="0" w:line="18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(ii)  on any Determination Date, the Three-Month Rolling Average Default Ratio is greater than 2.50%.</w:t>
      </w:r>
    </w:p>
    <w:p>
      <w:pPr>
        <w:spacing w:after="0" w:line="175" w:lineRule="exact"/>
        <w:rPr>
          <w:rFonts w:ascii="Times New Roman" w:cs="Times New Roman" w:eastAsia="Times New Roman" w:hAnsi="Times New Roman"/>
          <w:sz w:val="17"/>
          <w:szCs w:val="17"/>
          <w:color w:val="auto"/>
        </w:rPr>
      </w:pPr>
    </w:p>
    <w:p>
      <w:pPr>
        <w:ind w:left="660" w:hanging="655"/>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For purposes of this Agreement, a Level I Trigger Event shall be deemed to be continuing until it is Cured.</w:t>
      </w:r>
    </w:p>
    <w:p>
      <w:pPr>
        <w:spacing w:after="0" w:line="174"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265.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Level II Trigger Event</w:t>
      </w:r>
      <w:r>
        <w:rPr>
          <w:rFonts w:ascii="Times New Roman" w:cs="Times New Roman" w:eastAsia="Times New Roman" w:hAnsi="Times New Roman"/>
          <w:sz w:val="15"/>
          <w:szCs w:val="15"/>
          <w:color w:val="auto"/>
        </w:rPr>
        <w:t>” means the occurrence of any of the following events, unless the Borrower or Navan has requested, and the 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Agent (acting at the direction of the Required Lenders and the Required Class B Lenders) have agreed in writing, to waive the occurrence of such event or revise the applicable threshold:</w:t>
      </w:r>
    </w:p>
    <w:p>
      <w:pPr>
        <w:sectPr>
          <w:pgSz w:w="11900" w:h="16838" w:orient="portrait"/>
          <w:cols w:equalWidth="0" w:num="1">
            <w:col w:w="11280"/>
          </w:cols>
          <w:pgMar w:left="300" w:top="1139" w:right="319" w:bottom="1440" w:gutter="0" w:footer="0" w:header="0"/>
        </w:sectPr>
      </w:pPr>
    </w:p>
    <w:bookmarkStart w:id="233" w:name="page234"/>
    <w:bookmarkEnd w:id="233"/>
    <w:p>
      <w:pPr>
        <w:ind w:left="1540" w:hanging="517"/>
        <w:spacing w:after="0"/>
        <w:tabs>
          <w:tab w:leader="none" w:pos="15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on any Determination Date, the Three-Month Rolling Average Delinquency Ratio is greater than 3.75%; or</w:t>
      </w:r>
    </w:p>
    <w:p>
      <w:pPr>
        <w:spacing w:after="0" w:line="18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(ii)  on any Determination Date, the Three-Month Rolling Average Default Ratio is greater than 2.75%.</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For purposes of this Agreement, a Level II Trigger Event shall be deemed to be continuing until it is Cured.</w:t>
      </w:r>
    </w:p>
    <w:p>
      <w:pPr>
        <w:spacing w:after="0" w:line="174"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266.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Level III Trigger Event</w:t>
      </w:r>
      <w:r>
        <w:rPr>
          <w:rFonts w:ascii="Times New Roman" w:cs="Times New Roman" w:eastAsia="Times New Roman" w:hAnsi="Times New Roman"/>
          <w:sz w:val="15"/>
          <w:szCs w:val="15"/>
          <w:color w:val="auto"/>
        </w:rPr>
        <w:t>” means the occurrence of any of the following events, unless the Borrower or Navan has requested, and the 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Agent (acting at the direction of the Required Lenders and the Required Class B Lenders) have agreed in writing, to waive the occurrence of such event or revise the applicable threshold:</w:t>
      </w:r>
    </w:p>
    <w:p>
      <w:pPr>
        <w:spacing w:after="0" w:line="349" w:lineRule="exact"/>
        <w:rPr>
          <w:sz w:val="20"/>
          <w:szCs w:val="20"/>
          <w:color w:val="auto"/>
        </w:rPr>
      </w:pPr>
    </w:p>
    <w:p>
      <w:pPr>
        <w:ind w:left="1540" w:hanging="517"/>
        <w:spacing w:after="0"/>
        <w:tabs>
          <w:tab w:leader="none" w:pos="15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on any Determination Date, the Three-Month Rolling Average Delinquency Ratio is greater than 4.50%; or</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(ii)  on any Determination Date, the Three-Month Rolling Average Default Ratio is greater than 3.00%.</w:t>
      </w:r>
    </w:p>
    <w:p>
      <w:pPr>
        <w:spacing w:after="0" w:line="17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267.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Leverage Ratio</w:t>
      </w:r>
      <w:r>
        <w:rPr>
          <w:rFonts w:ascii="Times New Roman" w:cs="Times New Roman" w:eastAsia="Times New Roman" w:hAnsi="Times New Roman"/>
          <w:sz w:val="15"/>
          <w:szCs w:val="15"/>
          <w:color w:val="auto"/>
        </w:rPr>
        <w:t>” means, as of the end of any calendar month or quarter, as applicable, the ratio of (a) total consolidated Funded Indebtedness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Navan and its Subsidiaries on a consolidated basis as of such day, including Funded Indebtedness incurred by the Borrower or any Securitization Vehicle or Warehouse SPV, to (b) the Tangible Net Worth of Navan and its Subsidiaries on a consolidated basis as of such day.</w:t>
      </w:r>
    </w:p>
    <w:p>
      <w:pPr>
        <w:spacing w:after="0" w:line="14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268.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Lien</w:t>
      </w:r>
      <w:r>
        <w:rPr>
          <w:rFonts w:ascii="Times New Roman" w:cs="Times New Roman" w:eastAsia="Times New Roman" w:hAnsi="Times New Roman"/>
          <w:sz w:val="15"/>
          <w:szCs w:val="15"/>
          <w:color w:val="auto"/>
        </w:rPr>
        <w:t>” means any mortgage, pledge, hypothecation, assignment, encumbrance, lien or security interest (statutory or other), or preference, priority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other security agreement, charge, assignment by way of security,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5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269.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Limited Guaranty and Indemnity Agreement</w:t>
      </w:r>
      <w:r>
        <w:rPr>
          <w:rFonts w:ascii="Times New Roman" w:cs="Times New Roman" w:eastAsia="Times New Roman" w:hAnsi="Times New Roman"/>
          <w:sz w:val="15"/>
          <w:szCs w:val="15"/>
          <w:color w:val="auto"/>
        </w:rPr>
        <w:t>” means that certain Limited Guaranty and Indemnity Agreement made by Navan for the benefit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Administrative Agent, dated as of the Closing Date.</w:t>
      </w:r>
    </w:p>
    <w:p>
      <w:pPr>
        <w:spacing w:after="0" w:line="142"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270.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Limited Guaranty Event of Default</w:t>
      </w:r>
      <w:r>
        <w:rPr>
          <w:rFonts w:ascii="Times New Roman" w:cs="Times New Roman" w:eastAsia="Times New Roman" w:hAnsi="Times New Roman"/>
          <w:sz w:val="14"/>
          <w:szCs w:val="14"/>
          <w:color w:val="auto"/>
        </w:rPr>
        <w:t>” has the meaning assigned to such term in the Limited Guaranty and Indemnity Agreement.</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271.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Liquid Reimbursement</w:t>
      </w:r>
      <w:r>
        <w:rPr>
          <w:rFonts w:ascii="Times New Roman" w:cs="Times New Roman" w:eastAsia="Times New Roman" w:hAnsi="Times New Roman"/>
          <w:sz w:val="15"/>
          <w:szCs w:val="15"/>
          <w:color w:val="auto"/>
        </w:rPr>
        <w:t>” means a payments &amp; expense solution whereby the obligations of an employee of an Obligor, under an unrelated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card account, are reimbursed by Navan, which reimbursement is required to be repaid by such Obligor together with its other obligations under such Obligor’s Card Account. Liquid Reimbursements shall not include any Revenue Share.</w:t>
      </w:r>
    </w:p>
    <w:p>
      <w:pPr>
        <w:spacing w:after="0" w:line="13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272.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Margin Stock</w:t>
      </w:r>
      <w:r>
        <w:rPr>
          <w:rFonts w:ascii="Times New Roman" w:cs="Times New Roman" w:eastAsia="Times New Roman" w:hAnsi="Times New Roman"/>
          <w:sz w:val="14"/>
          <w:szCs w:val="14"/>
          <w:color w:val="auto"/>
        </w:rPr>
        <w:t>” has the meaning specified in Regulation U.</w:t>
      </w:r>
    </w:p>
    <w:p>
      <w:pPr>
        <w:sectPr>
          <w:pgSz w:w="11900" w:h="16838" w:orient="portrait"/>
          <w:cols w:equalWidth="0" w:num="1">
            <w:col w:w="11280"/>
          </w:cols>
          <w:pgMar w:left="300" w:top="1160" w:right="319" w:bottom="1440" w:gutter="0" w:footer="0" w:header="0"/>
        </w:sectPr>
      </w:pPr>
    </w:p>
    <w:bookmarkStart w:id="234" w:name="page235"/>
    <w:bookmarkEnd w:id="234"/>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273.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Material Adverse Effect</w:t>
      </w:r>
      <w:r>
        <w:rPr>
          <w:rFonts w:ascii="Times New Roman" w:cs="Times New Roman" w:eastAsia="Times New Roman" w:hAnsi="Times New Roman"/>
          <w:sz w:val="15"/>
          <w:szCs w:val="15"/>
          <w:color w:val="auto"/>
        </w:rPr>
        <w:t>” means, with respect to any Person, an action or an event that could have a material adverse effect on (a) the assets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financial condition of such Person, (b) the validity, enforceability or collectability of this Agreement or any other Facility Document against such Person or the validity, enforceability or collectability of more than 5.00% (measured by the Dollar Equivalent of the Receivable Balance) of the Eligible Receivables, (c) the rights and remedies of the Administrative Agent, the Lenders and the Secured Parties with respect to matters arising under this Agreement or any other Facility Document, (d) the ability of such Person to perform its obligations under any Facility Document to which it is a party, or (e) the validity, perfection, priority or enforceability of the Lien of the Administrative Agent on any material portion of the Collateral.</w:t>
      </w:r>
    </w:p>
    <w:p>
      <w:pPr>
        <w:spacing w:after="0" w:line="34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274.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Material Modification</w:t>
      </w:r>
      <w:r>
        <w:rPr>
          <w:rFonts w:ascii="Times New Roman" w:cs="Times New Roman" w:eastAsia="Times New Roman" w:hAnsi="Times New Roman"/>
          <w:sz w:val="15"/>
          <w:szCs w:val="15"/>
          <w:color w:val="auto"/>
        </w:rPr>
        <w:t>” means, with respect to any Receivable that is not a Defaulted Receivable, any amendment, waiver, consent or modification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a Related Document with respect thereto executed or effected after the date on which such Receivable was advanced or otherwise came into existence that (a) waives, extends or postpones any date fixed for any payment or mandatory prepayment on such Receivable or (b) reduces or forgives any scheduled monthly payment or the amount of such Receivable.</w:t>
      </w:r>
    </w:p>
    <w:p>
      <w:pPr>
        <w:spacing w:after="0" w:line="34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 xml:space="preserve">ARTICLE 275.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Maximum Available Amount</w:t>
      </w:r>
      <w:r>
        <w:rPr>
          <w:rFonts w:ascii="Times New Roman" w:cs="Times New Roman" w:eastAsia="Times New Roman" w:hAnsi="Times New Roman"/>
          <w:sz w:val="15"/>
          <w:szCs w:val="15"/>
          <w:color w:val="auto"/>
        </w:rPr>
        <w:t>” means, at any time, the sum of the Class A Maximum Available Amount and the Class B Maximum Available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Amount.</w:t>
      </w:r>
    </w:p>
    <w:p>
      <w:pPr>
        <w:spacing w:after="0" w:line="360"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276.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Measurement Date</w:t>
      </w:r>
      <w:r>
        <w:rPr>
          <w:rFonts w:ascii="Times New Roman" w:cs="Times New Roman" w:eastAsia="Times New Roman" w:hAnsi="Times New Roman"/>
          <w:sz w:val="14"/>
          <w:szCs w:val="14"/>
          <w:color w:val="auto"/>
        </w:rPr>
        <w:t>” means (a) the Closing Date, (b) each Borrowing Date and (c) the date of each Release.</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277.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Money</w:t>
      </w:r>
      <w:r>
        <w:rPr>
          <w:rFonts w:ascii="Times New Roman" w:cs="Times New Roman" w:eastAsia="Times New Roman" w:hAnsi="Times New Roman"/>
          <w:sz w:val="14"/>
          <w:szCs w:val="14"/>
          <w:color w:val="auto"/>
        </w:rPr>
        <w:t>” has the meaning specified in Section 1-201(b)(24) of the UCC.</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278.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Monthly Report</w:t>
      </w:r>
      <w:r>
        <w:rPr>
          <w:rFonts w:ascii="Times New Roman" w:cs="Times New Roman" w:eastAsia="Times New Roman" w:hAnsi="Times New Roman"/>
          <w:sz w:val="14"/>
          <w:szCs w:val="14"/>
          <w:color w:val="auto"/>
        </w:rPr>
        <w:t>” has the meaning specified in Section 5.01(g).</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279.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Monthly Reporting Date</w:t>
      </w:r>
      <w:r>
        <w:rPr>
          <w:rFonts w:ascii="Times New Roman" w:cs="Times New Roman" w:eastAsia="Times New Roman" w:hAnsi="Times New Roman"/>
          <w:sz w:val="14"/>
          <w:szCs w:val="14"/>
          <w:color w:val="auto"/>
        </w:rPr>
        <w:t>” means the date that is two (2) Business Days prior to each Payment Date.</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280.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Moody’s</w:t>
      </w:r>
      <w:r>
        <w:rPr>
          <w:rFonts w:ascii="Times New Roman" w:cs="Times New Roman" w:eastAsia="Times New Roman" w:hAnsi="Times New Roman"/>
          <w:sz w:val="14"/>
          <w:szCs w:val="14"/>
          <w:color w:val="auto"/>
        </w:rPr>
        <w:t>” means Moody’s Investors Service, Inc., together with its successors.</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281.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Multiemployer Plan</w:t>
      </w:r>
      <w:r>
        <w:rPr>
          <w:rFonts w:ascii="Times New Roman" w:cs="Times New Roman" w:eastAsia="Times New Roman" w:hAnsi="Times New Roman"/>
          <w:sz w:val="15"/>
          <w:szCs w:val="15"/>
          <w:color w:val="auto"/>
        </w:rPr>
        <w:t>” means an employee pension benefit plan within the meaning of Section 4001(a)(3) of ERISA that is sponsored by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Borrower or a member of its ERISA Group or to which the Borrower or a member of its ERISA Group is obligated to make contributions or has any liability.</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282.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NAICS</w:t>
      </w:r>
      <w:r>
        <w:rPr>
          <w:rFonts w:ascii="Times New Roman" w:cs="Times New Roman" w:eastAsia="Times New Roman" w:hAnsi="Times New Roman"/>
          <w:sz w:val="14"/>
          <w:szCs w:val="14"/>
          <w:color w:val="auto"/>
        </w:rPr>
        <w:t>” means the North American Industry Classification System.</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283.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Navan</w:t>
      </w:r>
      <w:r>
        <w:rPr>
          <w:rFonts w:ascii="Times New Roman" w:cs="Times New Roman" w:eastAsia="Times New Roman" w:hAnsi="Times New Roman"/>
          <w:sz w:val="14"/>
          <w:szCs w:val="14"/>
          <w:color w:val="auto"/>
        </w:rPr>
        <w:t>” means Navan, Inc., a Delaware corporation.</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284.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Navan Ancillary Amounts</w:t>
      </w:r>
      <w:r>
        <w:rPr>
          <w:rFonts w:ascii="Times New Roman" w:cs="Times New Roman" w:eastAsia="Times New Roman" w:hAnsi="Times New Roman"/>
          <w:sz w:val="15"/>
          <w:szCs w:val="15"/>
          <w:color w:val="auto"/>
        </w:rPr>
        <w:t>” means, with respect to any Receivable, any amounts paid by an Obligor other than principal, interest, and repurchase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proceeds that are billed to such Obligor.</w:t>
      </w:r>
    </w:p>
    <w:p>
      <w:pPr>
        <w:sectPr>
          <w:pgSz w:w="11900" w:h="16838" w:orient="portrait"/>
          <w:cols w:equalWidth="0" w:num="1">
            <w:col w:w="11280"/>
          </w:cols>
          <w:pgMar w:left="300" w:top="1148" w:right="319" w:bottom="1440" w:gutter="0" w:footer="0" w:header="0"/>
        </w:sectPr>
      </w:pPr>
    </w:p>
    <w:bookmarkStart w:id="235" w:name="page236"/>
    <w:bookmarkEnd w:id="235"/>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285.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Net Worth</w:t>
      </w:r>
      <w:r>
        <w:rPr>
          <w:rFonts w:ascii="Times New Roman" w:cs="Times New Roman" w:eastAsia="Times New Roman" w:hAnsi="Times New Roman"/>
          <w:sz w:val="15"/>
          <w:szCs w:val="15"/>
          <w:color w:val="auto"/>
        </w:rPr>
        <w:t>” means, with respect to Navan and its consolidated subsidiaries on a consolidated basis, the excess of total assets over total liabilities,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determined in accordance with GAAP.</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286.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Network</w:t>
      </w:r>
      <w:r>
        <w:rPr>
          <w:rFonts w:ascii="Times New Roman" w:cs="Times New Roman" w:eastAsia="Times New Roman" w:hAnsi="Times New Roman"/>
          <w:sz w:val="14"/>
          <w:szCs w:val="14"/>
          <w:color w:val="auto"/>
        </w:rPr>
        <w:t>” means any card association or network utilized for the settlement of Card Account Transactions.</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287.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Network Rules</w:t>
      </w:r>
      <w:r>
        <w:rPr>
          <w:rFonts w:ascii="Times New Roman" w:cs="Times New Roman" w:eastAsia="Times New Roman" w:hAnsi="Times New Roman"/>
          <w:sz w:val="14"/>
          <w:szCs w:val="14"/>
          <w:color w:val="auto"/>
        </w:rPr>
        <w:t>” means the bylaws, operating rules and regulations of any applicable Network, including the PCI-DSS.</w:t>
      </w:r>
    </w:p>
    <w:p>
      <w:pPr>
        <w:spacing w:after="0" w:line="17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288.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Non-Recourse Indebtedness</w:t>
      </w:r>
      <w:r>
        <w:rPr>
          <w:rFonts w:ascii="Times New Roman" w:cs="Times New Roman" w:eastAsia="Times New Roman" w:hAnsi="Times New Roman"/>
          <w:sz w:val="15"/>
          <w:szCs w:val="15"/>
          <w:color w:val="auto"/>
        </w:rPr>
        <w:t>” means, with respect to any Person, Indebtedness that is advanced in order to finance the acquisition of 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assets and secured only by the assets to which such Indebtedness relates without recourse to such Person or any of its Affiliates (other than subject to such customary carve-out matters for which such Person or its Affiliates acts as a guarantor or indemnitor in connection with such Indebtedness, such as for bad acts, tax withholding or the breach of representations and warranties unless, until and for so long as a claim for payment or performance has been made thereunder (which has not been satisfied), at which time the obligations with respect to any such customary carve-out shall not be considered Non-Recourse Indebtedness, to the extent that such claim is a liability of such Person for GAAP purposes).</w:t>
      </w:r>
    </w:p>
    <w:p>
      <w:pPr>
        <w:spacing w:after="0" w:line="342"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289.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of Borrowing</w:t>
      </w:r>
      <w:r>
        <w:rPr>
          <w:rFonts w:ascii="Times New Roman" w:cs="Times New Roman" w:eastAsia="Times New Roman" w:hAnsi="Times New Roman"/>
          <w:sz w:val="14"/>
          <w:szCs w:val="14"/>
          <w:color w:val="auto"/>
        </w:rPr>
        <w:t>” has the meaning specified in Section 2.02.</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290.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of Prepayment</w:t>
      </w:r>
      <w:r>
        <w:rPr>
          <w:rFonts w:ascii="Times New Roman" w:cs="Times New Roman" w:eastAsia="Times New Roman" w:hAnsi="Times New Roman"/>
          <w:sz w:val="14"/>
          <w:szCs w:val="14"/>
          <w:color w:val="auto"/>
        </w:rPr>
        <w:t>” has the meaning specified in Section 2.05.</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291.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NYFRB</w:t>
      </w:r>
      <w:r>
        <w:rPr>
          <w:rFonts w:ascii="Times New Roman" w:cs="Times New Roman" w:eastAsia="Times New Roman" w:hAnsi="Times New Roman"/>
          <w:sz w:val="14"/>
          <w:szCs w:val="14"/>
          <w:color w:val="auto"/>
        </w:rPr>
        <w:t>” means the Federal Reserve Bank of New York.</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292.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NYFRB’s Website</w:t>
      </w:r>
      <w:r>
        <w:rPr>
          <w:rFonts w:ascii="Times New Roman" w:cs="Times New Roman" w:eastAsia="Times New Roman" w:hAnsi="Times New Roman"/>
          <w:sz w:val="14"/>
          <w:szCs w:val="14"/>
          <w:color w:val="auto"/>
        </w:rPr>
        <w:t>” means the website of the NYFRB at http://www.newyorkfed.org, or any successor source.</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293.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Obligations</w:t>
      </w:r>
      <w:r>
        <w:rPr>
          <w:rFonts w:ascii="Times New Roman" w:cs="Times New Roman" w:eastAsia="Times New Roman" w:hAnsi="Times New Roman"/>
          <w:sz w:val="15"/>
          <w:szCs w:val="15"/>
          <w:color w:val="auto"/>
        </w:rPr>
        <w:t>” means, collectively, all Class A Obligations, all Class B Obligations and all other amounts at any time or from time to time owing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Borrower to any Secured Party or any Affected Person under or in connection with this Agreement or any other Facility Document.</w:t>
      </w:r>
    </w:p>
    <w:p>
      <w:pPr>
        <w:spacing w:after="0" w:line="124"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294.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means, with respect to any Receivable, the business entity obligated to satisfy the payment obligations in respect of such Receivable.</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295.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OFAC</w:t>
      </w:r>
      <w:r>
        <w:rPr>
          <w:rFonts w:ascii="Times New Roman" w:cs="Times New Roman" w:eastAsia="Times New Roman" w:hAnsi="Times New Roman"/>
          <w:sz w:val="14"/>
          <w:szCs w:val="14"/>
          <w:color w:val="auto"/>
        </w:rPr>
        <w:t>” means the U.S. Department of the Treasury, Office of Foreign Assets Control.</w:t>
      </w:r>
    </w:p>
    <w:p>
      <w:pPr>
        <w:spacing w:after="0" w:line="18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296.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Originating Bank Agreement</w:t>
      </w:r>
      <w:r>
        <w:rPr>
          <w:rFonts w:ascii="Times New Roman" w:cs="Times New Roman" w:eastAsia="Times New Roman" w:hAnsi="Times New Roman"/>
          <w:sz w:val="15"/>
          <w:szCs w:val="15"/>
          <w:color w:val="auto"/>
        </w:rPr>
        <w:t>” means with respect to (i) Adyen N.V. (including its local subsidiaries or branches when required by law), that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Card Services Agreement, dated as of June 7, 2024 (as amended and supplemented by that certain Changes to Reserve Account &amp; Overdraft Facility Addendum dated November 4, 2025), between Adyen N.V. and Navan or (ii) with respect to any other Originator which has contracted directly with Navan for the provision of card origination services, such agreements between Navan and such Originator as shall be reasonably acceptable to the Administrative Agent and the Required Class B Lenders.</w:t>
      </w:r>
    </w:p>
    <w:p>
      <w:pPr>
        <w:sectPr>
          <w:pgSz w:w="11900" w:h="16838" w:orient="portrait"/>
          <w:cols w:equalWidth="0" w:num="1">
            <w:col w:w="11280"/>
          </w:cols>
          <w:pgMar w:left="300" w:top="1148" w:right="319" w:bottom="1440" w:gutter="0" w:footer="0" w:header="0"/>
        </w:sectPr>
      </w:pPr>
    </w:p>
    <w:bookmarkStart w:id="236" w:name="page237"/>
    <w:bookmarkEnd w:id="236"/>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297.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Originator</w:t>
      </w:r>
      <w:r>
        <w:rPr>
          <w:rFonts w:ascii="Times New Roman" w:cs="Times New Roman" w:eastAsia="Times New Roman" w:hAnsi="Times New Roman"/>
          <w:sz w:val="15"/>
          <w:szCs w:val="15"/>
          <w:color w:val="auto"/>
        </w:rPr>
        <w:t>” means Celtic Bank or such other originating bank in the United States, Stripe Payments Europe, Ltd., Stripe Payments UK Limited,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Stripe Technology Europe, Limited, Adyen N.V. (including its local subsidiaries or branches when required by law) or such originator selected by Navan from time to time as shall be reasonably acceptable to the Administrative Agent and the Required Class B Lenders.</w:t>
      </w:r>
    </w:p>
    <w:p>
      <w:pPr>
        <w:spacing w:after="0" w:line="14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298.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Other Connection Taxes</w:t>
      </w:r>
      <w:r>
        <w:rPr>
          <w:rFonts w:ascii="Times New Roman" w:cs="Times New Roman" w:eastAsia="Times New Roman" w:hAnsi="Times New Roman"/>
          <w:sz w:val="15"/>
          <w:szCs w:val="15"/>
          <w:color w:val="auto"/>
        </w:rPr>
        <w:t>” means, with respect to any Recipient, Taxes imposed as a result of a present or former connection between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Facility Document, or sold or assigned an interest in any Advance or Facility Document).</w:t>
      </w:r>
    </w:p>
    <w:p>
      <w:pPr>
        <w:spacing w:after="0" w:line="138"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299.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Other Facility Class B Advance</w:t>
      </w:r>
      <w:r>
        <w:rPr>
          <w:rFonts w:ascii="Times New Roman" w:cs="Times New Roman" w:eastAsia="Times New Roman" w:hAnsi="Times New Roman"/>
          <w:sz w:val="15"/>
          <w:szCs w:val="15"/>
          <w:color w:val="auto"/>
        </w:rPr>
        <w:t>” means a loan or other advance made by any of the Class B Lenders or any of their Affiliates to a Warehouse SPV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(excluding, for the avoidance of doubt, the Borrower or any Securitization Vehicle).</w:t>
      </w:r>
    </w:p>
    <w:p>
      <w:pPr>
        <w:spacing w:after="0" w:line="11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7"/>
          <w:szCs w:val="17"/>
          <w:color w:val="auto"/>
        </w:rPr>
        <w:t xml:space="preserve">ARTICLE 300.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Other Taxes</w:t>
      </w:r>
      <w:r>
        <w:rPr>
          <w:rFonts w:ascii="Times New Roman" w:cs="Times New Roman" w:eastAsia="Times New Roman" w:hAnsi="Times New Roman"/>
          <w:sz w:val="15"/>
          <w:szCs w:val="15"/>
          <w:color w:val="auto"/>
        </w:rPr>
        <w:t>” means all present or future stamp, court or documentary, intangible, recording, filing or similar Taxes that arise from any 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made under, from the execution, delivery, performance, enforcement or registration of, from the receipt or perfection of a security interest under, or otherwise with respect to, any Facility Document, except any such Taxes that are Other Connection Taxes imposed with respect to an assignment (other than an assignment made pursuant to Section 2.09(b) or 2.11(b)).</w:t>
      </w:r>
    </w:p>
    <w:p>
      <w:pPr>
        <w:spacing w:after="0" w:line="34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Participant</w:t>
      </w:r>
      <w:r>
        <w:rPr>
          <w:rFonts w:ascii="Times New Roman" w:cs="Times New Roman" w:eastAsia="Times New Roman" w:hAnsi="Times New Roman"/>
          <w:sz w:val="14"/>
          <w:szCs w:val="14"/>
          <w:color w:val="auto"/>
        </w:rPr>
        <w:t>” has the meaning specified in Section 13.02(h).</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Participant Register</w:t>
      </w:r>
      <w:r>
        <w:rPr>
          <w:rFonts w:ascii="Times New Roman" w:cs="Times New Roman" w:eastAsia="Times New Roman" w:hAnsi="Times New Roman"/>
          <w:sz w:val="14"/>
          <w:szCs w:val="14"/>
          <w:color w:val="auto"/>
        </w:rPr>
        <w:t>” has the meaning specified in Section 13.02(i).</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Participating Member State</w:t>
      </w:r>
      <w:r>
        <w:rPr>
          <w:rFonts w:ascii="Times New Roman" w:cs="Times New Roman" w:eastAsia="Times New Roman" w:hAnsi="Times New Roman"/>
          <w:sz w:val="14"/>
          <w:szCs w:val="14"/>
          <w:color w:val="auto"/>
        </w:rPr>
        <w:t>” means each state so described in any EMU Legislation.</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PATRIOT Act</w:t>
      </w:r>
      <w:r>
        <w:rPr>
          <w:rFonts w:ascii="Times New Roman" w:cs="Times New Roman" w:eastAsia="Times New Roman" w:hAnsi="Times New Roman"/>
          <w:sz w:val="14"/>
          <w:szCs w:val="14"/>
          <w:color w:val="auto"/>
        </w:rPr>
        <w:t>” has the meaning specified in Section 12.16.</w:t>
      </w:r>
    </w:p>
    <w:p>
      <w:pPr>
        <w:spacing w:after="0" w:line="17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7"/>
          <w:szCs w:val="17"/>
          <w:color w:val="auto"/>
        </w:rPr>
        <w:t xml:space="preserve">ARTICLE 305.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Payment Date</w:t>
      </w:r>
      <w:r>
        <w:rPr>
          <w:rFonts w:ascii="Times New Roman" w:cs="Times New Roman" w:eastAsia="Times New Roman" w:hAnsi="Times New Roman"/>
          <w:sz w:val="15"/>
          <w:szCs w:val="15"/>
          <w:color w:val="auto"/>
        </w:rPr>
        <w:t>” means, the fifteenth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day of each calendar month, commencing on January 16, 2023;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that, if any such day is not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Business Day, then such date shall be the next succeeding Business Day.</w:t>
      </w:r>
    </w:p>
    <w:p>
      <w:pPr>
        <w:spacing w:after="0" w:line="151"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Payment Recipient</w:t>
      </w:r>
      <w:r>
        <w:rPr>
          <w:rFonts w:ascii="Times New Roman" w:cs="Times New Roman" w:eastAsia="Times New Roman" w:hAnsi="Times New Roman"/>
          <w:sz w:val="14"/>
          <w:szCs w:val="14"/>
          <w:color w:val="auto"/>
        </w:rPr>
        <w:t>” has the meaning specified in Section 11.07.</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PBGC</w:t>
      </w:r>
      <w:r>
        <w:rPr>
          <w:rFonts w:ascii="Times New Roman" w:cs="Times New Roman" w:eastAsia="Times New Roman" w:hAnsi="Times New Roman"/>
          <w:sz w:val="14"/>
          <w:szCs w:val="14"/>
          <w:color w:val="auto"/>
        </w:rPr>
        <w:t>” means the Pension Benefit Guaranty Corporation, or any successor agency or entity performing substantially the same functions.</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308.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PCI-DSS</w:t>
      </w:r>
      <w:r>
        <w:rPr>
          <w:rFonts w:ascii="Times New Roman" w:cs="Times New Roman" w:eastAsia="Times New Roman" w:hAnsi="Times New Roman"/>
          <w:sz w:val="15"/>
          <w:szCs w:val="15"/>
          <w:color w:val="auto"/>
        </w:rPr>
        <w:t>” means the Payment Card Industry Data Security Standards, as they may be revised from time to time and as then-currently in effect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includes, to the extent applicable, the Payment Application Data Security Standard (PA-DSS).</w:t>
      </w:r>
    </w:p>
    <w:p>
      <w:pPr>
        <w:sectPr>
          <w:pgSz w:w="11900" w:h="16838" w:orient="portrait"/>
          <w:cols w:equalWidth="0" w:num="1">
            <w:col w:w="11280"/>
          </w:cols>
          <w:pgMar w:left="300" w:top="1148" w:right="319" w:bottom="1440" w:gutter="0" w:footer="0" w:header="0"/>
        </w:sectPr>
      </w:pPr>
    </w:p>
    <w:bookmarkStart w:id="237" w:name="page238"/>
    <w:bookmarkEnd w:id="237"/>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309.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Percentage</w:t>
      </w:r>
      <w:r>
        <w:rPr>
          <w:rFonts w:ascii="Times New Roman" w:cs="Times New Roman" w:eastAsia="Times New Roman" w:hAnsi="Times New Roman"/>
          <w:sz w:val="14"/>
          <w:szCs w:val="14"/>
          <w:color w:val="auto"/>
        </w:rPr>
        <w:t>” means, at any time with respect to any Lender, the Class A Percentage or the Class B Percentage of such Lender at such time.</w:t>
      </w:r>
    </w:p>
    <w:p>
      <w:pPr>
        <w:spacing w:after="0" w:line="18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310.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Periodic Customer Reward Percentage</w:t>
      </w:r>
      <w:r>
        <w:rPr>
          <w:rFonts w:ascii="Times New Roman" w:cs="Times New Roman" w:eastAsia="Times New Roman" w:hAnsi="Times New Roman"/>
          <w:sz w:val="15"/>
          <w:szCs w:val="15"/>
          <w:color w:val="auto"/>
        </w:rPr>
        <w:t>” means, with respect to a Collection Period, the percentage equivalent of a fraction, the numerator of which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is the aggregate Dollar amount of rewards paid by Navan to Obligors during the preceding 6 Collection Periods (excluding, for the avoidance of doubt, such Collection Period) and the denominator of which is the Dollar Equivalent of the aggregate Receivables Balance of all Receivables originated during the preceding 6 Collection Periods (excluding, for the avoidance of doubt, such Collection Period).</w:t>
      </w:r>
    </w:p>
    <w:p>
      <w:pPr>
        <w:spacing w:after="0" w:line="152"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Periodic Term SOFR Determination Day</w:t>
      </w:r>
      <w:r>
        <w:rPr>
          <w:rFonts w:ascii="Times New Roman" w:cs="Times New Roman" w:eastAsia="Times New Roman" w:hAnsi="Times New Roman"/>
          <w:sz w:val="14"/>
          <w:szCs w:val="14"/>
          <w:color w:val="auto"/>
        </w:rPr>
        <w:t>” has the meaning specified in the definition of “</w:t>
      </w:r>
      <w:r>
        <w:rPr>
          <w:rFonts w:ascii="Times New Roman" w:cs="Times New Roman" w:eastAsia="Times New Roman" w:hAnsi="Times New Roman"/>
          <w:sz w:val="14"/>
          <w:szCs w:val="14"/>
          <w:i w:val="1"/>
          <w:iCs w:val="1"/>
          <w:color w:val="auto"/>
        </w:rPr>
        <w:t>Term SOFR</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312.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Permitted Liens</w:t>
      </w:r>
      <w:r>
        <w:rPr>
          <w:rFonts w:ascii="Times New Roman" w:cs="Times New Roman" w:eastAsia="Times New Roman" w:hAnsi="Times New Roman"/>
          <w:sz w:val="15"/>
          <w:szCs w:val="15"/>
          <w:color w:val="auto"/>
        </w:rPr>
        <w:t>” means: (a) Liens created in favor of the Administrative Agent hereunder or under the other Facility Documents for the benefit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Secured Parties; (b) Liens in favor of the Borrower pursuant to the Receivables Purchase Agreement, (c) Liens imposed by any Governmental Authority for Taxes not yet delinquent or which are being contested in good faith and by appropriate proceedings if adequate reserves with respect thereto are maintained on the books of the Borrower in accordance with GAAP; and (d) in connection with maintaining deposit accounts established in accordance with this Agreement, bankers’ liens, rights of setoff and similar Liens granted to financial institutions maintaining such accounts.</w:t>
      </w:r>
    </w:p>
    <w:p>
      <w:pPr>
        <w:spacing w:after="0" w:line="151"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313.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Permitted Sale</w:t>
      </w:r>
      <w:r>
        <w:rPr>
          <w:rFonts w:ascii="Times New Roman" w:cs="Times New Roman" w:eastAsia="Times New Roman" w:hAnsi="Times New Roman"/>
          <w:sz w:val="14"/>
          <w:szCs w:val="14"/>
          <w:color w:val="auto"/>
        </w:rPr>
        <w:t>” means, subject to compliance with Section 8.02, any sale by Borrower of:</w:t>
      </w:r>
    </w:p>
    <w:p>
      <w:pPr>
        <w:spacing w:after="0" w:line="176" w:lineRule="exact"/>
        <w:rPr>
          <w:sz w:val="20"/>
          <w:szCs w:val="20"/>
          <w:color w:val="auto"/>
        </w:rPr>
      </w:pPr>
    </w:p>
    <w:p>
      <w:pPr>
        <w:ind w:left="520"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314. </w:t>
      </w:r>
      <w:r>
        <w:rPr>
          <w:rFonts w:ascii="Times New Roman" w:cs="Times New Roman" w:eastAsia="Times New Roman" w:hAnsi="Times New Roman"/>
          <w:sz w:val="15"/>
          <w:szCs w:val="15"/>
          <w:color w:val="auto"/>
        </w:rPr>
        <w:t>(a) Receivables in connection with either (i) the repurchase by the Seller of a Receivable if required pursuant to the Receivables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Agreement, or (ii) a transfer of Receivables to a Securitization Vehicle in connection with a Securitization Transaction;</w:t>
      </w:r>
    </w:p>
    <w:p>
      <w:pPr>
        <w:sectPr>
          <w:pgSz w:w="11900" w:h="16838" w:orient="portrait"/>
          <w:cols w:equalWidth="0" w:num="1">
            <w:col w:w="11280"/>
          </w:cols>
          <w:pgMar w:left="300" w:top="1148" w:right="319" w:bottom="1440" w:gutter="0" w:footer="0" w:header="0"/>
        </w:sectPr>
      </w:pP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ARTICLE 315.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4"/>
          <w:szCs w:val="14"/>
          <w:color w:val="auto"/>
        </w:rPr>
        <w:t>Ineligible Receivables; or</w:t>
      </w:r>
    </w:p>
    <w:p>
      <w:pPr>
        <w:spacing w:after="0" w:line="185" w:lineRule="exact"/>
        <w:rPr>
          <w:sz w:val="20"/>
          <w:szCs w:val="20"/>
          <w:color w:val="auto"/>
        </w:rPr>
      </w:pPr>
    </w:p>
    <w:p>
      <w:pPr>
        <w:sectPr>
          <w:pgSz w:w="11900" w:h="16838" w:orient="portrait"/>
          <w:cols w:equalWidth="0" w:num="2">
            <w:col w:w="2060" w:space="480"/>
            <w:col w:w="8740"/>
          </w:cols>
          <w:pgMar w:left="300" w:top="1148" w:right="3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color w:val="auto"/>
        </w:rPr>
        <w:t>ARTICLE 316.</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(c)</w:t>
      </w:r>
      <w:r>
        <w:rPr>
          <w:sz w:val="20"/>
          <w:szCs w:val="20"/>
          <w:color w:val="auto"/>
        </w:rPr>
        <w:tab/>
      </w:r>
      <w:r>
        <w:rPr>
          <w:rFonts w:ascii="Times New Roman" w:cs="Times New Roman" w:eastAsia="Times New Roman" w:hAnsi="Times New Roman"/>
          <w:sz w:val="14"/>
          <w:szCs w:val="14"/>
          <w:color w:val="auto"/>
        </w:rPr>
        <w:t>Eligible Receivables with the prior written consent of the Administrative Agent, which consent shall not be unreasonably withheld;</w:t>
      </w:r>
    </w:p>
    <w:p>
      <w:pPr>
        <w:spacing w:after="0" w:line="185" w:lineRule="exact"/>
        <w:rPr>
          <w:sz w:val="20"/>
          <w:szCs w:val="20"/>
          <w:color w:val="auto"/>
        </w:rPr>
      </w:pPr>
    </w:p>
    <w:p>
      <w:pPr>
        <w:sectPr>
          <w:pgSz w:w="11900" w:h="16838" w:orient="portrait"/>
          <w:cols w:equalWidth="0" w:num="2">
            <w:col w:w="2060" w:space="480"/>
            <w:col w:w="8740"/>
          </w:cols>
          <w:pgMar w:left="300" w:top="1148" w:right="31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ARTICLE 317.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 sale of any Receivables shall be a Permitted Sale if, immediately following such sale, any Unmatured Accelerated Amortization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Event, Unmatured Event of Default, Unmatured Limited Guaranty Event of Default, Unmatured Servicer Event of Default, Accelerated Amortization Event, Event of Default, Limited Guaranty Event of Default or Servicer Event of Default, Class A Borrowing Base Deficiency or Class B Borrowing Base Deficiency would exist;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no sale of Receivables shall be a Permitted Sale if the Administrative Agent has provided notice within two (2) Business Days of receipt of notice pursuant to Section 8.02(a) of this Agreement, that such sale will, as reasonably determined by Administrative Agent, result in a materially adverse selection of Receivables to remain in the Class A Borrowing Base and the Class B Borrowing Base following such sale.</w:t>
      </w:r>
    </w:p>
    <w:p>
      <w:pPr>
        <w:sectPr>
          <w:pgSz w:w="11900" w:h="16838" w:orient="portrait"/>
          <w:cols w:equalWidth="0" w:num="1">
            <w:col w:w="11280"/>
          </w:cols>
          <w:pgMar w:left="300" w:top="1148" w:right="319" w:bottom="1440" w:gutter="0" w:footer="0" w:header="0"/>
          <w:type w:val="continuous"/>
        </w:sectPr>
      </w:pPr>
    </w:p>
    <w:bookmarkStart w:id="238" w:name="page239"/>
    <w:bookmarkEnd w:id="238"/>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Person</w:t>
      </w:r>
      <w:r>
        <w:rPr>
          <w:rFonts w:ascii="Times New Roman" w:cs="Times New Roman" w:eastAsia="Times New Roman" w:hAnsi="Times New Roman"/>
          <w:sz w:val="15"/>
          <w:szCs w:val="15"/>
          <w:color w:val="auto"/>
        </w:rPr>
        <w:t>” means an individual or a corporation (including a business trust), partnership, trust, incorporated or unincorporated association, joint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company, limited liability company, government (or an agency or political subdivision thereof) or other entity of any kind.</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Plan</w:t>
      </w:r>
      <w:r>
        <w:rPr>
          <w:rFonts w:ascii="Times New Roman" w:cs="Times New Roman" w:eastAsia="Times New Roman" w:hAnsi="Times New Roman"/>
          <w:sz w:val="15"/>
          <w:szCs w:val="15"/>
          <w:color w:val="auto"/>
        </w:rPr>
        <w:t>” means an employee pension benefit plan (other than a Multiemployer Plan) which is covered by Title IV of ERISA or subject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minimum funding standards under Section 412 of the Code that is sponsored by the Borrower or a member of its ERISA Group or to which the Borrower or a member of its ERISA Group is obligated to make contributions or has any liability.</w:t>
      </w:r>
    </w:p>
    <w:p>
      <w:pPr>
        <w:spacing w:after="0" w:line="145"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Pledge Agreement</w:t>
      </w:r>
      <w:r>
        <w:rPr>
          <w:rFonts w:ascii="Times New Roman" w:cs="Times New Roman" w:eastAsia="Times New Roman" w:hAnsi="Times New Roman"/>
          <w:sz w:val="15"/>
          <w:szCs w:val="15"/>
          <w:color w:val="auto"/>
        </w:rPr>
        <w:t>” means that certain Pledge Agreement, dated as of the Amendment No. 9 Effective Date, made by Navan in favor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Administrative Agent.</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321.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Prime Rate</w:t>
      </w:r>
      <w:r>
        <w:rPr>
          <w:rFonts w:ascii="Times New Roman" w:cs="Times New Roman" w:eastAsia="Times New Roman" w:hAnsi="Times New Roman"/>
          <w:sz w:val="15"/>
          <w:szCs w:val="15"/>
          <w:color w:val="auto"/>
        </w:rPr>
        <w:t>” means the rate announced by Goldman Sachs Bank USA from time to time as its prime rate in the United States of America, such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to change as and when such designated rate changes. The Prime Rate is not intended to be the lowest rate of interest charged by Goldman Sachs Bank USA in connection with extensions of credit to debtors. Goldman Sachs Bank USA may make commercial loans or other loans at rates of interest at, above, or below the Prime Rate.</w:t>
      </w:r>
    </w:p>
    <w:p>
      <w:pPr>
        <w:spacing w:after="0" w:line="14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322.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Privacy and Data Security Requirements</w:t>
      </w:r>
      <w:r>
        <w:rPr>
          <w:rFonts w:ascii="Times New Roman" w:cs="Times New Roman" w:eastAsia="Times New Roman" w:hAnsi="Times New Roman"/>
          <w:sz w:val="15"/>
          <w:szCs w:val="15"/>
          <w:color w:val="auto"/>
        </w:rPr>
        <w:t>” means the obligations imposed by (but only to the extent applicable): (a) Title V of the Gramm-Leach-Bliley Act, 15 U.S.C. §§ 6801 et seq., (b) the applicable federal regulations implementing such act, (c) the Interagency Guidelines Establishing Standards For Safeguarding Customer Information, (d) all other applicable federal, state and local laws, rules, regulations, and orders relating to the privacy and security of customer Information, including the federal Fair Credit Reporting Act, 15 U.S.C. §§ 1681 et seq., and similar state laws; and (e) all privacy, consumer protection or security policies and procedures of an Originator, to the extent written copies of such policies and procedures are shared with the Borrower.</w:t>
      </w:r>
    </w:p>
    <w:p>
      <w:pPr>
        <w:spacing w:after="0" w:line="151"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Private Authorizations</w:t>
      </w:r>
      <w:r>
        <w:rPr>
          <w:rFonts w:ascii="Times New Roman" w:cs="Times New Roman" w:eastAsia="Times New Roman" w:hAnsi="Times New Roman"/>
          <w:sz w:val="15"/>
          <w:szCs w:val="15"/>
          <w:color w:val="auto"/>
        </w:rPr>
        <w:t>” means all franchises, permits, licenses, approvals, consents and other authorizations of all Persons (other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Governmental Authorities).</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324.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Proceeds</w:t>
      </w:r>
      <w:r>
        <w:rPr>
          <w:rFonts w:ascii="Times New Roman" w:cs="Times New Roman" w:eastAsia="Times New Roman" w:hAnsi="Times New Roman"/>
          <w:sz w:val="15"/>
          <w:szCs w:val="15"/>
          <w:color w:val="auto"/>
        </w:rPr>
        <w:t>” has, with reference to any asset or property, the meaning assigned to it under the UCC and, in any event, shall include, but not be limited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to, any and all amounts from time to time paid or payable under or in connection with such asset or property.</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325.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Program Provider</w:t>
      </w:r>
      <w:r>
        <w:rPr>
          <w:rFonts w:ascii="Times New Roman" w:cs="Times New Roman" w:eastAsia="Times New Roman" w:hAnsi="Times New Roman"/>
          <w:sz w:val="15"/>
          <w:szCs w:val="15"/>
          <w:color w:val="auto"/>
        </w:rPr>
        <w:t>” means (i) Stripe or (ii) such other card services program provider that is not an Originator, selected by Navan from time to 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 shall be reasonably acceptable to the Administrative Agent and the Required Class B Lenders.</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326.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Program Provider Agreement</w:t>
      </w:r>
      <w:r>
        <w:rPr>
          <w:rFonts w:ascii="Times New Roman" w:cs="Times New Roman" w:eastAsia="Times New Roman" w:hAnsi="Times New Roman"/>
          <w:sz w:val="15"/>
          <w:szCs w:val="15"/>
          <w:color w:val="auto"/>
        </w:rPr>
        <w:t>” means with respect to (i) Stripe or (ii) with respect to any other Program Provider, such agreements between Navan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and such Program Provider as shall be reasonably acceptable to the Administrative Agent and the Required Class B Lenders.</w:t>
      </w:r>
    </w:p>
    <w:p>
      <w:pPr>
        <w:spacing w:after="0" w:line="12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327.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Prohibited Transaction</w:t>
      </w:r>
      <w:r>
        <w:rPr>
          <w:rFonts w:ascii="Times New Roman" w:cs="Times New Roman" w:eastAsia="Times New Roman" w:hAnsi="Times New Roman"/>
          <w:sz w:val="15"/>
          <w:szCs w:val="15"/>
          <w:color w:val="auto"/>
        </w:rPr>
        <w:t>” means a transaction described in Section 406(a) of ERISA, that is not exempted by a statutory or administrative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individual exemption pursuant to Section 408 of ERISA.</w:t>
      </w:r>
    </w:p>
    <w:p>
      <w:pPr>
        <w:sectPr>
          <w:pgSz w:w="11900" w:h="16838" w:orient="portrait"/>
          <w:cols w:equalWidth="0" w:num="1">
            <w:col w:w="11280"/>
          </w:cols>
          <w:pgMar w:left="300" w:top="1148" w:right="319" w:bottom="1440" w:gutter="0" w:footer="0" w:header="0"/>
        </w:sectPr>
      </w:pPr>
    </w:p>
    <w:bookmarkStart w:id="239" w:name="page240"/>
    <w:bookmarkEnd w:id="239"/>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328.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Projections</w:t>
      </w:r>
      <w:r>
        <w:rPr>
          <w:rFonts w:ascii="Times New Roman" w:cs="Times New Roman" w:eastAsia="Times New Roman" w:hAnsi="Times New Roman"/>
          <w:sz w:val="14"/>
          <w:szCs w:val="14"/>
          <w:color w:val="auto"/>
        </w:rPr>
        <w:t>” has the meaning specified in Section 13.03(b).</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329.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Purchase Date</w:t>
      </w:r>
      <w:r>
        <w:rPr>
          <w:rFonts w:ascii="Times New Roman" w:cs="Times New Roman" w:eastAsia="Times New Roman" w:hAnsi="Times New Roman"/>
          <w:sz w:val="15"/>
          <w:szCs w:val="15"/>
          <w:color w:val="auto"/>
        </w:rPr>
        <w:t>” means, with respect to any Receivable, the date on which such Receivable was sold by the Seller to the Borrower under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Receivables Purchase Agreement.</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330.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QFC</w:t>
      </w:r>
      <w:r>
        <w:rPr>
          <w:rFonts w:ascii="Times New Roman" w:cs="Times New Roman" w:eastAsia="Times New Roman" w:hAnsi="Times New Roman"/>
          <w:sz w:val="14"/>
          <w:szCs w:val="14"/>
          <w:color w:val="auto"/>
        </w:rPr>
        <w:t>” has the meaning assigned to the term “qualified financial contract” in, and shall be interpreted in accordance with, 12 U.S.C. 5390(c)(8)(D).</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331.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QFC Credit Support</w:t>
      </w:r>
      <w:r>
        <w:rPr>
          <w:rFonts w:ascii="Times New Roman" w:cs="Times New Roman" w:eastAsia="Times New Roman" w:hAnsi="Times New Roman"/>
          <w:sz w:val="14"/>
          <w:szCs w:val="14"/>
          <w:color w:val="auto"/>
        </w:rPr>
        <w:t>” has the meaning specified in Section 12.22.</w:t>
      </w:r>
    </w:p>
    <w:p>
      <w:pPr>
        <w:spacing w:after="0" w:line="18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332.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Qualified Institution</w:t>
      </w:r>
      <w:r>
        <w:rPr>
          <w:rFonts w:ascii="Times New Roman" w:cs="Times New Roman" w:eastAsia="Times New Roman" w:hAnsi="Times New Roman"/>
          <w:sz w:val="15"/>
          <w:szCs w:val="15"/>
          <w:color w:val="auto"/>
        </w:rPr>
        <w:t>” means a depository institution or trust company organized under the laws of the United States of America or any one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states thereof or the District of Columbia (or any domestic branch of a foreign bank), (i)(A) that has either (1) a long term unsecured debt rating of “A” or better by S&amp;P and “A2” or better by Moody’s or (2) a short term unsecured debt rating or certificate of deposit rating of “A 1” or better by S&amp;P or “P 1” or better by Moody’s, (B) the parent corporation of which has either (1) a long term unsecured debt rating of “A” or better by S&amp;P and “A2” or better by Moody’s or (2) a short term unsecured debt rating or certificate of deposit rating of “A 1” or better by S&amp;P and “P 1” or better by Moody’s or (C) is otherwise acceptable to the Administrative Agent and (ii) the deposits of which are insured by the Federal Deposit Insurance Corporation.</w:t>
      </w:r>
    </w:p>
    <w:p>
      <w:pPr>
        <w:spacing w:after="0" w:line="342"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333.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Reassignment</w:t>
      </w:r>
      <w:r>
        <w:rPr>
          <w:rFonts w:ascii="Times New Roman" w:cs="Times New Roman" w:eastAsia="Times New Roman" w:hAnsi="Times New Roman"/>
          <w:sz w:val="14"/>
          <w:szCs w:val="14"/>
          <w:color w:val="auto"/>
        </w:rPr>
        <w:t>” has the meaning set forth in Section 5.04(a) of this Agreement.</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334.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Reassignment Amount</w:t>
      </w:r>
      <w:r>
        <w:rPr>
          <w:rFonts w:ascii="Times New Roman" w:cs="Times New Roman" w:eastAsia="Times New Roman" w:hAnsi="Times New Roman"/>
          <w:sz w:val="14"/>
          <w:szCs w:val="14"/>
          <w:color w:val="auto"/>
        </w:rPr>
        <w:t>” has the meaning set forth in Section 5.04(a) of this Agreement.</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335.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Reassignment Receivable</w:t>
      </w:r>
      <w:r>
        <w:rPr>
          <w:rFonts w:ascii="Times New Roman" w:cs="Times New Roman" w:eastAsia="Times New Roman" w:hAnsi="Times New Roman"/>
          <w:sz w:val="14"/>
          <w:szCs w:val="14"/>
          <w:color w:val="auto"/>
        </w:rPr>
        <w:t>” has the meaning set forth in Section 5.04(a) of this Agreement.</w:t>
      </w:r>
    </w:p>
    <w:p>
      <w:pPr>
        <w:spacing w:after="0" w:line="17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336.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Receivable</w:t>
      </w:r>
      <w:r>
        <w:rPr>
          <w:rFonts w:ascii="Times New Roman" w:cs="Times New Roman" w:eastAsia="Times New Roman" w:hAnsi="Times New Roman"/>
          <w:sz w:val="15"/>
          <w:szCs w:val="15"/>
          <w:color w:val="auto"/>
        </w:rPr>
        <w:t>” means, with respect to either a Card Account or amounts owed by an Obligor in respect of a Liquid Reimbursement, (a) all rights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payment of principal, interest, fees (including without limitation late payment fees), all other charges and assessments, and all other amounts paid or due to be paid and obligations (regardless of the accrual period but excluding amounts already paid) from or on behalf of the Obligor under such Card Account, (b) all other rights, interests, benefits, proceeds, remedies and claims in favor or for the benefit of an Originator (or its successors or assigns) arising from or relating to such Receivable; (c) all claims (including “claims” as defined in Bankruptcy Reform Act of 1978, 11 U.S.C. §§101 et seq., as amended §101(5)), suits, causes of action, and any other right of an Originator, whether known or unknown, against any Obligor thereunder, or any of its or their respective affiliates, agents, representatives, contractors, advisors, or any other entity or person that in any way is based upon, arises out of or is related to any of the foregoing, including, to the extent permitted to be assigned under Applicable Law, all claims (including contract claims, tort claims, malpractice claims and claims under any law governing the purchase and sale of, or indentures for, securities) suits, causes of action, (d) all rights to service such Receivable, and (e) all Proceeds of any and all of the foregoing.</w:t>
      </w:r>
    </w:p>
    <w:p>
      <w:pPr>
        <w:sectPr>
          <w:pgSz w:w="11900" w:h="16838" w:orient="portrait"/>
          <w:cols w:equalWidth="0" w:num="1">
            <w:col w:w="11280"/>
          </w:cols>
          <w:pgMar w:left="300" w:top="1148" w:right="319" w:bottom="1440" w:gutter="0" w:footer="0" w:header="0"/>
        </w:sectPr>
      </w:pPr>
    </w:p>
    <w:bookmarkStart w:id="240" w:name="page241"/>
    <w:bookmarkEnd w:id="240"/>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337.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Receivable Balance</w:t>
      </w:r>
      <w:r>
        <w:rPr>
          <w:rFonts w:ascii="Times New Roman" w:cs="Times New Roman" w:eastAsia="Times New Roman" w:hAnsi="Times New Roman"/>
          <w:sz w:val="15"/>
          <w:szCs w:val="15"/>
          <w:color w:val="auto"/>
        </w:rPr>
        <w:t>” means, with respect to any Eligible Receivable, as of any date of determination, the outstanding principal balance of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Eligible Receivable on such date.</w:t>
      </w:r>
    </w:p>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338.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Receivables and Cash Flow Tracking Condition</w:t>
      </w:r>
      <w:r>
        <w:rPr>
          <w:rFonts w:ascii="Times New Roman" w:cs="Times New Roman" w:eastAsia="Times New Roman" w:hAnsi="Times New Roman"/>
          <w:sz w:val="15"/>
          <w:szCs w:val="15"/>
          <w:color w:val="auto"/>
        </w:rPr>
        <w:t>” means the approval by the Lenders (such approval not to be unreasonably withheld, delayed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conditioned) of Navan’s controls and procedures (and, if applicable, any related written policies) for (1) the designating of accounts, (2) the pledging, assigning, selling, granting of security interests in, or otherwise conveying any receivables related to such accounts and (3) the tracking of and remittance of all related collections related to such receivables.</w:t>
      </w:r>
    </w:p>
    <w:p>
      <w:pPr>
        <w:spacing w:after="0" w:line="145"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339.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Receivables Purchase Agreement</w:t>
      </w:r>
      <w:r>
        <w:rPr>
          <w:rFonts w:ascii="Times New Roman" w:cs="Times New Roman" w:eastAsia="Times New Roman" w:hAnsi="Times New Roman"/>
          <w:sz w:val="15"/>
          <w:szCs w:val="15"/>
          <w:color w:val="auto"/>
        </w:rPr>
        <w:t>” means that certain Receivables Purchase Agreement, dated as of the Closing Date, by and between the Seller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and the Borrower.</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340.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Recipient</w:t>
      </w:r>
      <w:r>
        <w:rPr>
          <w:rFonts w:ascii="Times New Roman" w:cs="Times New Roman" w:eastAsia="Times New Roman" w:hAnsi="Times New Roman"/>
          <w:sz w:val="14"/>
          <w:szCs w:val="14"/>
          <w:color w:val="auto"/>
        </w:rPr>
        <w:t>” means (a) the Administrative Agent or (b) any Lender, as applicable.</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Recycling Condition</w:t>
      </w:r>
      <w:r>
        <w:rPr>
          <w:rFonts w:ascii="Times New Roman" w:cs="Times New Roman" w:eastAsia="Times New Roman" w:hAnsi="Times New Roman"/>
          <w:sz w:val="15"/>
          <w:szCs w:val="15"/>
          <w:color w:val="auto"/>
        </w:rPr>
        <w:t>” means, as of any date of determination on which a Release is to occur, a condition which shall be satisfied if each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following conditions precedent shall have been satisfied as of such date of determination:</w:t>
      </w:r>
    </w:p>
    <w:p>
      <w:pPr>
        <w:spacing w:after="0" w:line="136" w:lineRule="exact"/>
        <w:rPr>
          <w:sz w:val="20"/>
          <w:szCs w:val="20"/>
          <w:color w:val="auto"/>
        </w:rPr>
      </w:pPr>
    </w:p>
    <w:p>
      <w:pPr>
        <w:jc w:val="both"/>
        <w:ind w:left="520"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342. </w:t>
      </w:r>
      <w:r>
        <w:rPr>
          <w:rFonts w:ascii="Times New Roman" w:cs="Times New Roman" w:eastAsia="Times New Roman" w:hAnsi="Times New Roman"/>
          <w:sz w:val="15"/>
          <w:szCs w:val="15"/>
          <w:color w:val="auto"/>
        </w:rPr>
        <w:t>(a) no Unmatured Accelerated Amortization Event, Unmatured Event of Default, Unmatured Limited Guaranty Event of Default,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Unmatured Servicer Event of Default, Accelerated Amortization Event, Event of Default, Limited Guaranty Event of Default, Servicer Event of Default, Level II Trigger Event or Level III Trigger Event exists or will result from the making of such Release;</w:t>
      </w:r>
    </w:p>
    <w:p>
      <w:pPr>
        <w:spacing w:after="0" w:line="145" w:lineRule="exact"/>
        <w:rPr>
          <w:sz w:val="20"/>
          <w:szCs w:val="20"/>
          <w:color w:val="auto"/>
        </w:rPr>
      </w:pPr>
    </w:p>
    <w:p>
      <w:pPr>
        <w:ind w:left="520"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343. </w:t>
      </w:r>
      <w:r>
        <w:rPr>
          <w:rFonts w:ascii="Times New Roman" w:cs="Times New Roman" w:eastAsia="Times New Roman" w:hAnsi="Times New Roman"/>
          <w:sz w:val="15"/>
          <w:szCs w:val="15"/>
          <w:color w:val="auto"/>
        </w:rPr>
        <w:t>(b) the Borrower shall have (i) delivered a Release Notice to the Administrative Agent and (ii) received a written consent to such Release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from the Administrative Agent (which may be delivered electronically); and</w:t>
      </w:r>
    </w:p>
    <w:p>
      <w:pPr>
        <w:sectPr>
          <w:pgSz w:w="11900" w:h="16838" w:orient="portrait"/>
          <w:cols w:equalWidth="0" w:num="1">
            <w:col w:w="11280"/>
          </w:cols>
          <w:pgMar w:left="300" w:top="1148" w:right="319" w:bottom="1440" w:gutter="0" w:footer="0" w:header="0"/>
        </w:sectPr>
      </w:pP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ARTICLE 344.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(c)</w:t>
      </w:r>
      <w:r>
        <w:rPr>
          <w:sz w:val="20"/>
          <w:szCs w:val="20"/>
          <w:color w:val="auto"/>
        </w:rPr>
        <w:tab/>
      </w:r>
      <w:r>
        <w:rPr>
          <w:rFonts w:ascii="Times New Roman" w:cs="Times New Roman" w:eastAsia="Times New Roman" w:hAnsi="Times New Roman"/>
          <w:sz w:val="14"/>
          <w:szCs w:val="14"/>
          <w:color w:val="auto"/>
        </w:rPr>
        <w:t>after giving effect to such Release, no Class A Borrowing Base Deficiency or Class B Borrowing Base Deficiency will exist.</w:t>
      </w:r>
    </w:p>
    <w:p>
      <w:pPr>
        <w:spacing w:after="0" w:line="185" w:lineRule="exact"/>
        <w:rPr>
          <w:sz w:val="20"/>
          <w:szCs w:val="20"/>
          <w:color w:val="auto"/>
        </w:rPr>
      </w:pPr>
    </w:p>
    <w:p>
      <w:pPr>
        <w:sectPr>
          <w:pgSz w:w="11900" w:h="16838" w:orient="portrait"/>
          <w:cols w:equalWidth="0" w:num="2">
            <w:col w:w="2060" w:space="480"/>
            <w:col w:w="8740"/>
          </w:cols>
          <w:pgMar w:left="300" w:top="1148" w:right="319" w:bottom="1440" w:gutter="0" w:footer="0" w:header="0"/>
          <w:type w:val="continuous"/>
        </w:sectPr>
      </w:pPr>
    </w:p>
    <w:p>
      <w:pPr>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345.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Reduced Pricing Test</w:t>
      </w:r>
      <w:r>
        <w:rPr>
          <w:rFonts w:ascii="Times New Roman" w:cs="Times New Roman" w:eastAsia="Times New Roman" w:hAnsi="Times New Roman"/>
          <w:sz w:val="15"/>
          <w:szCs w:val="15"/>
          <w:color w:val="auto"/>
        </w:rPr>
        <w:t>” means a test that will be deemed satisfied if, in the most recently closed Securitization Transaction the most senior tranche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such Securitization Transaction has an advance rate of at least [***]% and an applicable margin of [***]% or less.</w:t>
      </w:r>
    </w:p>
    <w:p>
      <w:pPr>
        <w:spacing w:after="0" w:line="136" w:lineRule="exact"/>
        <w:rPr>
          <w:sz w:val="20"/>
          <w:szCs w:val="20"/>
          <w:color w:val="auto"/>
        </w:rPr>
      </w:pPr>
    </w:p>
    <w:p>
      <w:pPr>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346.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Reference Time</w:t>
      </w:r>
      <w:r>
        <w:rPr>
          <w:rFonts w:ascii="Times New Roman" w:cs="Times New Roman" w:eastAsia="Times New Roman" w:hAnsi="Times New Roman"/>
          <w:sz w:val="15"/>
          <w:szCs w:val="15"/>
          <w:color w:val="auto"/>
        </w:rPr>
        <w:t>” with respect to any determination of the Benchmark, means the time determined by the Administrative Agent in its reasonable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discretion in accordance with the Benchmark Replacement Conforming Changes.</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347.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Register</w:t>
      </w:r>
      <w:r>
        <w:rPr>
          <w:rFonts w:ascii="Times New Roman" w:cs="Times New Roman" w:eastAsia="Times New Roman" w:hAnsi="Times New Roman"/>
          <w:sz w:val="14"/>
          <w:szCs w:val="14"/>
          <w:color w:val="auto"/>
        </w:rPr>
        <w:t>” has the meaning specified in Section 13.02(g).</w:t>
      </w:r>
    </w:p>
    <w:p>
      <w:pPr>
        <w:spacing w:after="0" w:line="176" w:lineRule="exact"/>
        <w:rPr>
          <w:sz w:val="20"/>
          <w:szCs w:val="20"/>
          <w:color w:val="auto"/>
        </w:rPr>
      </w:pPr>
    </w:p>
    <w:p>
      <w:pPr>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348.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Regulation T</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Regulation U</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Regulation X</w:t>
      </w:r>
      <w:r>
        <w:rPr>
          <w:rFonts w:ascii="Times New Roman" w:cs="Times New Roman" w:eastAsia="Times New Roman" w:hAnsi="Times New Roman"/>
          <w:sz w:val="15"/>
          <w:szCs w:val="15"/>
          <w:color w:val="auto"/>
        </w:rPr>
        <w:t>” mean Regulation T, U and X, respectively, of the Board of Governors of the Federal Reserve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System, as in effect from time to time.</w:t>
      </w:r>
    </w:p>
    <w:p>
      <w:pPr>
        <w:sectPr>
          <w:pgSz w:w="11900" w:h="16838" w:orient="portrait"/>
          <w:cols w:equalWidth="0" w:num="1">
            <w:col w:w="11280"/>
          </w:cols>
          <w:pgMar w:left="300" w:top="1148" w:right="319" w:bottom="1440" w:gutter="0" w:footer="0" w:header="0"/>
          <w:type w:val="continuous"/>
        </w:sectPr>
      </w:pPr>
    </w:p>
    <w:bookmarkStart w:id="241" w:name="page242"/>
    <w:bookmarkEnd w:id="241"/>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349.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Regulatory Change</w:t>
      </w:r>
      <w:r>
        <w:rPr>
          <w:rFonts w:ascii="Times New Roman" w:cs="Times New Roman" w:eastAsia="Times New Roman" w:hAnsi="Times New Roman"/>
          <w:sz w:val="14"/>
          <w:szCs w:val="14"/>
          <w:color w:val="auto"/>
        </w:rPr>
        <w:t>” has the meaning specified in Section 2.09(a).</w:t>
      </w:r>
    </w:p>
    <w:p>
      <w:pPr>
        <w:spacing w:after="0" w:line="18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 xml:space="preserve">ARTICLE 350.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Regulatory Event</w:t>
      </w:r>
      <w:r>
        <w:rPr>
          <w:rFonts w:ascii="Times New Roman" w:cs="Times New Roman" w:eastAsia="Times New Roman" w:hAnsi="Times New Roman"/>
          <w:sz w:val="15"/>
          <w:szCs w:val="15"/>
          <w:color w:val="auto"/>
        </w:rPr>
        <w:t>” means any one of the following events: a rule, order, decree, enactment, proclamation or publication of any guidance, guideline,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interpretation, injunction, directive, proclamation, promulgation, requirement, order, judgment, policy statement, law, regulation, rule, statute, writ or finding by a Governmental Authority, in the context of an action, suit, proceeding, investigation, claim, allegation or otherwise that would either (a) have a material adverse effect on the validity, enforceability or collectability (including by the assignee of such Eligible Receivable) of Eligible Receivables constituting more than 5.00% (measured by the Dollar Equivalent of the Receivable Balance) of the Aggregate Eligible Receivable Balance immediately prior to the occurrence of such Regulatory Event as reasonably determined by the Administrative Agent or (b) have a Material Adverse Effect on any of the Borrower, the Seller, or the Servicer.</w:t>
      </w:r>
    </w:p>
    <w:p>
      <w:pPr>
        <w:spacing w:after="0" w:line="14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351.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Reinvestment Period</w:t>
      </w:r>
      <w:r>
        <w:rPr>
          <w:rFonts w:ascii="Times New Roman" w:cs="Times New Roman" w:eastAsia="Times New Roman" w:hAnsi="Times New Roman"/>
          <w:sz w:val="15"/>
          <w:szCs w:val="15"/>
          <w:color w:val="auto"/>
        </w:rPr>
        <w:t>” means the period from and including the Closing Date to but excluding the earliest to occur of: (a) the Scheduled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Reinvestment Period Termination Date, (b) an Accelerated Amortization Event (other than the occurrence of an Event of Default), (c) an Event of Default and (d) the Receivables Purchase Agreement is terminated.</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352.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Related Documents</w:t>
      </w:r>
      <w:r>
        <w:rPr>
          <w:rFonts w:ascii="Times New Roman" w:cs="Times New Roman" w:eastAsia="Times New Roman" w:hAnsi="Times New Roman"/>
          <w:sz w:val="15"/>
          <w:szCs w:val="15"/>
          <w:color w:val="auto"/>
        </w:rPr>
        <w:t>” means, with respect to a Receivable, (a) the related Card Account Agreement, (b) if any, all other agreements and documents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evidencing, guaranteeing, securing, governing or giving rise to such Receivable, including any third-party guarantees and any other credit enhancement rights and (c) if any, the endorsements or assignments showing the chain of ownership (including any bill of sale or assignment agreement delivered under the Receivables Purchase Agreement) thereof.</w:t>
      </w:r>
    </w:p>
    <w:p>
      <w:pPr>
        <w:spacing w:after="0" w:line="145"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353.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Related Party</w:t>
      </w:r>
      <w:r>
        <w:rPr>
          <w:rFonts w:ascii="Times New Roman" w:cs="Times New Roman" w:eastAsia="Times New Roman" w:hAnsi="Times New Roman"/>
          <w:sz w:val="15"/>
          <w:szCs w:val="15"/>
          <w:color w:val="auto"/>
        </w:rPr>
        <w:t>” means, with respect to any Person, such Person’s Affiliates and their respective partners, directors, officers, employees, agents,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trustees, investors, administrators, managers, advisors and representatives of such Person and of such Person’s Affiliates.</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354.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Release</w:t>
      </w:r>
      <w:r>
        <w:rPr>
          <w:rFonts w:ascii="Times New Roman" w:cs="Times New Roman" w:eastAsia="Times New Roman" w:hAnsi="Times New Roman"/>
          <w:sz w:val="14"/>
          <w:szCs w:val="14"/>
          <w:color w:val="auto"/>
        </w:rPr>
        <w:t>” has the meaning specified in Section 9.01(a).</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355.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Release Notice</w:t>
      </w:r>
      <w:r>
        <w:rPr>
          <w:rFonts w:ascii="Times New Roman" w:cs="Times New Roman" w:eastAsia="Times New Roman" w:hAnsi="Times New Roman"/>
          <w:sz w:val="14"/>
          <w:szCs w:val="14"/>
          <w:color w:val="auto"/>
        </w:rPr>
        <w:t>” means a notice substantially in the form attached hereto as Exhibit E.</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356.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Relevant Governmental Body</w:t>
      </w:r>
      <w:r>
        <w:rPr>
          <w:rFonts w:ascii="Times New Roman" w:cs="Times New Roman" w:eastAsia="Times New Roman" w:hAnsi="Times New Roman"/>
          <w:sz w:val="15"/>
          <w:szCs w:val="15"/>
          <w:color w:val="auto"/>
        </w:rPr>
        <w:t>” means the Federal Reserve Board or the Federal Reserve Bank of New York, or a committee officially endorsed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convened by the Federal Reserve Board or the Federal Reserve Bank of New York, or any successor thereto.</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Reported Spot Rate</w:t>
      </w:r>
      <w:r>
        <w:rPr>
          <w:rFonts w:ascii="Times New Roman" w:cs="Times New Roman" w:eastAsia="Times New Roman" w:hAnsi="Times New Roman"/>
          <w:sz w:val="16"/>
          <w:szCs w:val="16"/>
          <w:color w:val="auto"/>
        </w:rPr>
        <w:t>” means, on each Business Day, the rate at which the relevant Currency may be exchanged into Dollars, based on “WM/Refinitiv 4:00 p.m. London time MID fix” on such Business Day. In the event that such rate is unavailable on such Business Day, the Reported Spot Rate shall be determined by reference to such rates as may be reported on any other third-party reporting service that the Administrative Agent deems appropriate in its commercially reasonable discretion and which it uses (or would use) to cover the Currency to Dollars in similar transactions (and in consultation with the Servicer) and promptly notified to the Borrower and the Servicer.</w:t>
      </w:r>
    </w:p>
    <w:p>
      <w:pPr>
        <w:sectPr>
          <w:pgSz w:w="11900" w:h="16838" w:orient="portrait"/>
          <w:cols w:equalWidth="0" w:num="1">
            <w:col w:w="11280"/>
          </w:cols>
          <w:pgMar w:left="300" w:top="1148" w:right="319" w:bottom="1440" w:gutter="0" w:footer="0" w:header="0"/>
        </w:sectPr>
      </w:pPr>
    </w:p>
    <w:bookmarkStart w:id="242" w:name="page243"/>
    <w:bookmarkEnd w:id="242"/>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357.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Requested Amount</w:t>
      </w:r>
      <w:r>
        <w:rPr>
          <w:rFonts w:ascii="Times New Roman" w:cs="Times New Roman" w:eastAsia="Times New Roman" w:hAnsi="Times New Roman"/>
          <w:sz w:val="14"/>
          <w:szCs w:val="14"/>
          <w:color w:val="auto"/>
        </w:rPr>
        <w:t>” has the meaning specified in Section 2.02.</w:t>
      </w:r>
    </w:p>
    <w:p>
      <w:pPr>
        <w:spacing w:after="0" w:line="18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358.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Required Class A Lenders</w:t>
      </w:r>
      <w:r>
        <w:rPr>
          <w:rFonts w:ascii="Times New Roman" w:cs="Times New Roman" w:eastAsia="Times New Roman" w:hAnsi="Times New Roman"/>
          <w:sz w:val="15"/>
          <w:szCs w:val="15"/>
          <w:color w:val="auto"/>
        </w:rPr>
        <w:t>” means, (i) at any time during the Reinvestment Period, one or more Class A Lenders holding in the aggregate at least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50 percent (50%) of the aggregate Class A Committed Amount of all Class A Lenders at such time or (ii) at any other time, one or more Class A Lenders holding in the aggregate at least 50 percent (50%) of the Class A Aggregate Loan Principal Balance at such time.</w:t>
      </w:r>
    </w:p>
    <w:p>
      <w:pPr>
        <w:spacing w:after="0" w:line="135"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359.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Required Class B Lenders</w:t>
      </w:r>
      <w:r>
        <w:rPr>
          <w:rFonts w:ascii="Times New Roman" w:cs="Times New Roman" w:eastAsia="Times New Roman" w:hAnsi="Times New Roman"/>
          <w:sz w:val="15"/>
          <w:szCs w:val="15"/>
          <w:color w:val="auto"/>
        </w:rPr>
        <w:t>” means (i) at any time during the Reinvestment Period, one or more Class B Lenders holding in the aggregate more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fifty percent (50%) of the aggregate Class B Committed Amount of all Class B Lenders at such time or (ii) at any other time, one or more Class B Lenders holding in the aggregate more than fifty percent (50%) of the Class B Aggregate Loan Principal Balance at such time.</w:t>
      </w:r>
    </w:p>
    <w:p>
      <w:pPr>
        <w:spacing w:after="0" w:line="130"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360.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Required Lenders</w:t>
      </w:r>
      <w:r>
        <w:rPr>
          <w:rFonts w:ascii="Times New Roman" w:cs="Times New Roman" w:eastAsia="Times New Roman" w:hAnsi="Times New Roman"/>
          <w:sz w:val="15"/>
          <w:szCs w:val="15"/>
          <w:color w:val="auto"/>
        </w:rPr>
        <w:t>” means, as of any date of determination, (a) unless and until the Class A Committed Amount has expired or terminated and 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Class A Obligations been reduced to zero, the Required Class A Lenders; and (b) otherwise, the Required Class B Lenders.</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361.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Reserve Account</w:t>
      </w:r>
      <w:r>
        <w:rPr>
          <w:rFonts w:ascii="Times New Roman" w:cs="Times New Roman" w:eastAsia="Times New Roman" w:hAnsi="Times New Roman"/>
          <w:sz w:val="15"/>
          <w:szCs w:val="15"/>
          <w:color w:val="auto"/>
        </w:rPr>
        <w:t>” means an account to be established at the Dollar Account Bank in the name of the Borrower, which account will have been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designated as the “Reserve Account” and which shall at all times be the subject of a Collection Account Control Agreement.</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362.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Reserve Account Draw Amount</w:t>
      </w:r>
      <w:r>
        <w:rPr>
          <w:rFonts w:ascii="Times New Roman" w:cs="Times New Roman" w:eastAsia="Times New Roman" w:hAnsi="Times New Roman"/>
          <w:sz w:val="15"/>
          <w:szCs w:val="15"/>
          <w:color w:val="auto"/>
        </w:rPr>
        <w:t>” means, with respect to any Payment Date during the Reinvestment Period (i) on which a Reserve Account Trigger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Event exists, the excess, if any, of (a) the aggregate amount of payments and distributions to be made pursuant to Section 9.01(b)(i), (ii), (iii) and (v) on such Payment Date over (b) the aggregate amount of Collections for such Payment Date or (ii) on which a Reserve Account Trigger Event does not exist, all funds on deposit in the Reserve Account.</w:t>
      </w:r>
    </w:p>
    <w:p>
      <w:pPr>
        <w:spacing w:after="0" w:line="13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363.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Reserve Account Required Deposit Amount</w:t>
      </w:r>
      <w:r>
        <w:rPr>
          <w:rFonts w:ascii="Times New Roman" w:cs="Times New Roman" w:eastAsia="Times New Roman" w:hAnsi="Times New Roman"/>
          <w:sz w:val="15"/>
          <w:szCs w:val="15"/>
          <w:color w:val="auto"/>
        </w:rPr>
        <w:t>” means, with respect to a Payment Date on which a Reserve Account Trigger Event exists, an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equal to the excess (if any) of (1) product of (a) three (3) and (b) an amount equal to the sum of (i) the amounts described in Section 9.01(b)(i) and (ii) payable on the next Payment Date, (ii) the Class A Interest and Class A Unused Fees that would accrue during an Interest Accrual Period of 30 days, assuming that the Class A Aggregate Loan Principal Balance during such Interest Accrual Period was equal to the higher of (x) the Class A Aggregate Loan Principal Balance on such date and (y) the average Class A Aggregate Loan Principal Balance during the three Interest Accrual Periods preceding such date and the Class A Interest Rate equals the Class A Interest Rate determined pursuant to clause (a) of the definition thereof and (iii) the Class B Interest and Class B Unused Fees that would accrue during an Interest Accrual Period of 30 days, assuming that the Class B Aggregate Loan Principal Balance during such Interest Accrual Period was equal to the higher of (x) the Class B Aggregate Loan Principal Balance on such date and (y) the average Class B Aggregate Loan Principal Balance during the three Interest Accrual Periods preceding such date and the Class B Interest Rate equals the Class B Interest Rate determined pursuant to clause (a) of the definition thereof, over (2) amounts then on deposit in the Reserve Account.</w:t>
      </w:r>
    </w:p>
    <w:p>
      <w:pPr>
        <w:sectPr>
          <w:pgSz w:w="11900" w:h="16838" w:orient="portrait"/>
          <w:cols w:equalWidth="0" w:num="1">
            <w:col w:w="11280"/>
          </w:cols>
          <w:pgMar w:left="300" w:top="1148" w:right="319" w:bottom="1440" w:gutter="0" w:footer="0" w:header="0"/>
        </w:sectPr>
      </w:pPr>
    </w:p>
    <w:bookmarkStart w:id="243" w:name="page244"/>
    <w:bookmarkEnd w:id="243"/>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 xml:space="preserve">ARTICLE 364.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Reserve Account Trigger Event</w:t>
      </w:r>
      <w:r>
        <w:rPr>
          <w:rFonts w:ascii="Times New Roman" w:cs="Times New Roman" w:eastAsia="Times New Roman" w:hAnsi="Times New Roman"/>
          <w:sz w:val="15"/>
          <w:szCs w:val="15"/>
          <w:color w:val="auto"/>
        </w:rPr>
        <w:t>” means, as of any Payment Date, the Three-Month Rolling Average Excess Spread is less than the Excess Spread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Threshold.</w:t>
      </w:r>
    </w:p>
    <w:p>
      <w:pPr>
        <w:spacing w:after="0" w:line="360"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365.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Resolution Authority</w:t>
      </w:r>
      <w:r>
        <w:rPr>
          <w:rFonts w:ascii="Times New Roman" w:cs="Times New Roman" w:eastAsia="Times New Roman" w:hAnsi="Times New Roman"/>
          <w:sz w:val="14"/>
          <w:szCs w:val="14"/>
          <w:color w:val="auto"/>
        </w:rPr>
        <w:t>” means an EEA Resolution Authority or, with respect to any UK Financial Institution, a UK Resolution Authority.</w:t>
      </w:r>
    </w:p>
    <w:p>
      <w:pPr>
        <w:spacing w:after="0" w:line="18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7"/>
          <w:szCs w:val="17"/>
          <w:color w:val="auto"/>
        </w:rPr>
        <w:t xml:space="preserve">ARTICLE 366.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Responsible Officer</w:t>
      </w:r>
      <w:r>
        <w:rPr>
          <w:rFonts w:ascii="Times New Roman" w:cs="Times New Roman" w:eastAsia="Times New Roman" w:hAnsi="Times New Roman"/>
          <w:sz w:val="15"/>
          <w:szCs w:val="15"/>
          <w:color w:val="auto"/>
        </w:rPr>
        <w:t>” means (a) in the case of a corporation, partnership or limited liability company that, pursuant to its Constituent Documents,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has officers, any chief executive officer, chief financial officer, chief administrative officer, president, senior vice president,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w:t>
      </w:r>
    </w:p>
    <w:p>
      <w:pPr>
        <w:spacing w:after="0" w:line="2" w:lineRule="exact"/>
        <w:rPr>
          <w:sz w:val="20"/>
          <w:szCs w:val="20"/>
          <w:color w:val="auto"/>
        </w:rPr>
      </w:pPr>
    </w:p>
    <w:p>
      <w:pPr>
        <w:ind w:firstLine="5"/>
        <w:spacing w:after="0" w:line="244" w:lineRule="auto"/>
        <w:tabs>
          <w:tab w:leader="none" w:pos="233"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trust, the Responsible Officer of the trustee or the administrator of the trust, acting on behalf of such trust in its capacity as trustee and (e) in the case of the Administrative Agent, an officer of the Administrative Agent responsible for the administration of this Agreement.</w:t>
      </w:r>
    </w:p>
    <w:p>
      <w:pPr>
        <w:spacing w:after="0" w:line="16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367.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Restricted Payments</w:t>
      </w:r>
      <w:r>
        <w:rPr>
          <w:rFonts w:ascii="Times New Roman" w:cs="Times New Roman" w:eastAsia="Times New Roman" w:hAnsi="Times New Roman"/>
          <w:sz w:val="15"/>
          <w:szCs w:val="15"/>
          <w:color w:val="auto"/>
        </w:rPr>
        <w:t>” means the declaration of any distribution or dividends or the payment of any other amount (including in respect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redemptions permitted by the Constituent Documents of the Borrower) to any beneficiary or other equity investor in the Borrower on account of any Equity Interest in respect of the Borrower, or the payment on account of, or the setting apart of assets for a sinking or other analogous fund for, or the purchase or other acquisition of any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Equity Interest in respect of the Borrower.</w:t>
      </w:r>
    </w:p>
    <w:p>
      <w:pPr>
        <w:spacing w:after="0" w:line="152"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368.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Revenue Share</w:t>
      </w:r>
      <w:r>
        <w:rPr>
          <w:rFonts w:ascii="Times New Roman" w:cs="Times New Roman" w:eastAsia="Times New Roman" w:hAnsi="Times New Roman"/>
          <w:sz w:val="15"/>
          <w:szCs w:val="15"/>
          <w:color w:val="auto"/>
        </w:rPr>
        <w:t>” means revenue that Program Provider or Originator pays to Navan relating to Receivables sold to the Borrower based on the dollar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volume of cardholder charges for goods and services on cards issued by Originator net of any fees Program Provider or Originator charges to Navan on cardholder transactions.</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369.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S&amp;P</w:t>
      </w:r>
      <w:r>
        <w:rPr>
          <w:rFonts w:ascii="Times New Roman" w:cs="Times New Roman" w:eastAsia="Times New Roman" w:hAnsi="Times New Roman"/>
          <w:sz w:val="14"/>
          <w:szCs w:val="14"/>
          <w:color w:val="auto"/>
        </w:rPr>
        <w:t>” means S&amp;P Global Ratings.</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370.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Sanctioned Country</w:t>
      </w:r>
      <w:r>
        <w:rPr>
          <w:rFonts w:ascii="Times New Roman" w:cs="Times New Roman" w:eastAsia="Times New Roman" w:hAnsi="Times New Roman"/>
          <w:sz w:val="15"/>
          <w:szCs w:val="15"/>
          <w:color w:val="auto"/>
        </w:rPr>
        <w:t>” means, at any time, a country or territory that is, or whose government is, the subject or target of any Sanctions, (which,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avoidance of doubt, currently shall include the Crimea, Donetsk and Luhansk regions of Ukraine, Cuba, Iran, North Korea, and Syria).</w:t>
      </w:r>
    </w:p>
    <w:p>
      <w:pPr>
        <w:spacing w:after="0" w:line="11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371.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Sanctioned Person</w:t>
      </w:r>
      <w:r>
        <w:rPr>
          <w:rFonts w:ascii="Times New Roman" w:cs="Times New Roman" w:eastAsia="Times New Roman" w:hAnsi="Times New Roman"/>
          <w:sz w:val="15"/>
          <w:szCs w:val="15"/>
          <w:color w:val="auto"/>
        </w:rPr>
        <w:t>” means, at any time, (a) any Person designated on any Sanctions related list maintained by OFAC, the U.S. Department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State, the United Nations Security Council, the European Union or any EU member state or His Majesty’s Treasury of the United Kingdom, the purpose of which is to impose an asset freeze, property blocking or other comprehensive</w:t>
      </w:r>
    </w:p>
    <w:p>
      <w:pPr>
        <w:sectPr>
          <w:pgSz w:w="11900" w:h="16838" w:orient="portrait"/>
          <w:cols w:equalWidth="0" w:num="1">
            <w:col w:w="11280"/>
          </w:cols>
          <w:pgMar w:left="300" w:top="1148" w:right="319" w:bottom="1440" w:gutter="0" w:footer="0" w:header="0"/>
        </w:sectPr>
      </w:pPr>
    </w:p>
    <w:bookmarkStart w:id="244" w:name="page245"/>
    <w:bookmarkEnd w:id="244"/>
    <w:p>
      <w:pPr>
        <w:jc w:val="both"/>
        <w:spacing w:after="0" w:line="254" w:lineRule="auto"/>
        <w:rPr>
          <w:sz w:val="20"/>
          <w:szCs w:val="20"/>
          <w:color w:val="auto"/>
        </w:rPr>
      </w:pPr>
      <w:r>
        <w:rPr>
          <w:rFonts w:ascii="Times New Roman" w:cs="Times New Roman" w:eastAsia="Times New Roman" w:hAnsi="Times New Roman"/>
          <w:sz w:val="16"/>
          <w:szCs w:val="16"/>
          <w:color w:val="auto"/>
        </w:rPr>
        <w:t>transaction ban, including the “Specially Designated Nationals and Blocked Persons” maintained by OFAC (b) (i) an agency of the government of a Sanctioned Country, (ii) an organization controlled by a Sanctioned Country or (iii) any Person located, organized or ordinarily resident in a Sanctioned Country or (c) any Person 50% or more owned, or controlled, by any such Person.</w:t>
      </w:r>
    </w:p>
    <w:p>
      <w:pPr>
        <w:spacing w:after="0" w:line="15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372.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Sanctions</w:t>
      </w:r>
      <w:r>
        <w:rPr>
          <w:rFonts w:ascii="Times New Roman" w:cs="Times New Roman" w:eastAsia="Times New Roman" w:hAnsi="Times New Roman"/>
          <w:sz w:val="15"/>
          <w:szCs w:val="15"/>
          <w:color w:val="auto"/>
        </w:rPr>
        <w:t>” means economic or financial sanctions or trade embargoes administered or enforced from time to time by (a) the U.S. 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including those administered by OFAC or the U.S. Department of State or (b) the United Nations Security Council, the European Union or His Majesty’s Treasury of the United Kingdom.</w:t>
      </w:r>
    </w:p>
    <w:p>
      <w:pPr>
        <w:spacing w:after="0" w:line="3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373.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Sanctions Laws</w:t>
      </w:r>
      <w:r>
        <w:rPr>
          <w:rFonts w:ascii="Times New Roman" w:cs="Times New Roman" w:eastAsia="Times New Roman" w:hAnsi="Times New Roman"/>
          <w:sz w:val="15"/>
          <w:szCs w:val="15"/>
          <w:color w:val="auto"/>
        </w:rPr>
        <w:t>” means, collectively, the statutes, orders, directives, rules and regulations regarding economic or financial sanctions or trade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embargoes administered or enforced from time to time by (a) the U.S. government, including those administered by OFAC or the U.S. Department of State or (b) the United Nations Security Council, the European Union or His Majesty’s Treasury of the United Kingdom.</w:t>
      </w:r>
    </w:p>
    <w:p>
      <w:pPr>
        <w:spacing w:after="0" w:line="135"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 xml:space="preserve">ARTICLE 374.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Schedule of Accounts</w:t>
      </w:r>
      <w:r>
        <w:rPr>
          <w:rFonts w:ascii="Times New Roman" w:cs="Times New Roman" w:eastAsia="Times New Roman" w:hAnsi="Times New Roman"/>
          <w:sz w:val="15"/>
          <w:szCs w:val="15"/>
          <w:color w:val="auto"/>
        </w:rPr>
        <w:t>” means a listing (which shall be in the form of an electronic data tape or other medium in each case reasonably acceptable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Administrative Agent) of all Card Accounts, together with such other information that is reasonably requested by the Administrative Agent from time to time, as such listing may be amended, restated, supplemented or otherwise modified from time to time in accordance with this Agreement and the Receivables Purchase Agreement.</w:t>
      </w:r>
    </w:p>
    <w:p>
      <w:pPr>
        <w:spacing w:after="0" w:line="130"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375.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Scheduled Reinvestment Period Termination Date</w:t>
      </w:r>
      <w:r>
        <w:rPr>
          <w:rFonts w:ascii="Times New Roman" w:cs="Times New Roman" w:eastAsia="Times New Roman" w:hAnsi="Times New Roman"/>
          <w:sz w:val="15"/>
          <w:szCs w:val="15"/>
          <w:color w:val="auto"/>
        </w:rPr>
        <w:t>” means November 18, 2027 or such later date as may be agreed by the Borrower and each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Lenders in writing and notified in writing to the Administrative Agent.</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376.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w:t>
      </w:r>
      <w:r>
        <w:rPr>
          <w:rFonts w:ascii="Times New Roman" w:cs="Times New Roman" w:eastAsia="Times New Roman" w:hAnsi="Times New Roman"/>
          <w:sz w:val="15"/>
          <w:szCs w:val="15"/>
          <w:color w:val="auto"/>
        </w:rPr>
        <w:t>” means the Securities and Exchange Commission or any other Governmental Authority of the United States of America at the 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administrating the Securities Act, the Investment Company Act or the Exchange Act.</w:t>
      </w:r>
    </w:p>
    <w:p>
      <w:pPr>
        <w:spacing w:after="0" w:line="12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377.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Secured Parties</w:t>
      </w:r>
      <w:r>
        <w:rPr>
          <w:rFonts w:ascii="Times New Roman" w:cs="Times New Roman" w:eastAsia="Times New Roman" w:hAnsi="Times New Roman"/>
          <w:sz w:val="15"/>
          <w:szCs w:val="15"/>
          <w:color w:val="auto"/>
        </w:rPr>
        <w:t>” means, collectively, each of the Administrative Agent, the Class B Representative, each of the Lenders, each Affected Person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each Indemnified Party and, in each case their respective permitted successors and assigns.</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378.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means the Securities Act of 1933, and the rules and regulations promulgated thereunder, all as from time to time in effect, or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successor law, rules or regulations, and any reference to any statutory or regulatory provision shall be deemed to be a reference to any successor statutory or regulatory provision.</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379.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Securitization Transaction</w:t>
      </w:r>
      <w:r>
        <w:rPr>
          <w:rFonts w:ascii="Times New Roman" w:cs="Times New Roman" w:eastAsia="Times New Roman" w:hAnsi="Times New Roman"/>
          <w:sz w:val="15"/>
          <w:szCs w:val="15"/>
          <w:color w:val="auto"/>
        </w:rPr>
        <w:t>” means a broadly marketed and distributed issuance of asset-backed securities by a Securitization Vehicle backed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Receivables and any other related assets.</w:t>
      </w:r>
    </w:p>
    <w:p>
      <w:pPr>
        <w:sectPr>
          <w:pgSz w:w="11900" w:h="16838" w:orient="portrait"/>
          <w:cols w:equalWidth="0" w:num="1">
            <w:col w:w="11280"/>
          </w:cols>
          <w:pgMar w:left="300" w:top="1139" w:right="319" w:bottom="1440" w:gutter="0" w:footer="0" w:header="0"/>
        </w:sectPr>
      </w:pPr>
    </w:p>
    <w:bookmarkStart w:id="245" w:name="page246"/>
    <w:bookmarkEnd w:id="245"/>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380.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Securitization Vehicle</w:t>
      </w:r>
      <w:r>
        <w:rPr>
          <w:rFonts w:ascii="Times New Roman" w:cs="Times New Roman" w:eastAsia="Times New Roman" w:hAnsi="Times New Roman"/>
          <w:sz w:val="15"/>
          <w:szCs w:val="15"/>
          <w:color w:val="auto"/>
        </w:rPr>
        <w:t>” means a special purpose bankruptcy remote entity formed for the purpose of directly or indirectly purchasing Receivables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from the Borrower and issuing asset-backed securities secured by such Receivables.</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381.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Security</w:t>
      </w:r>
      <w:r>
        <w:rPr>
          <w:rFonts w:ascii="Times New Roman" w:cs="Times New Roman" w:eastAsia="Times New Roman" w:hAnsi="Times New Roman"/>
          <w:sz w:val="14"/>
          <w:szCs w:val="14"/>
          <w:color w:val="auto"/>
        </w:rPr>
        <w:t>” has the meaning given to such term in the English Deed of Charge.</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382.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Seller</w:t>
      </w:r>
      <w:r>
        <w:rPr>
          <w:rFonts w:ascii="Times New Roman" w:cs="Times New Roman" w:eastAsia="Times New Roman" w:hAnsi="Times New Roman"/>
          <w:sz w:val="14"/>
          <w:szCs w:val="14"/>
          <w:color w:val="auto"/>
        </w:rPr>
        <w:t>” means Navan, in its capacity as seller under the Receivables Purchase Agreement.</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383.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Servicer</w:t>
      </w:r>
      <w:r>
        <w:rPr>
          <w:rFonts w:ascii="Times New Roman" w:cs="Times New Roman" w:eastAsia="Times New Roman" w:hAnsi="Times New Roman"/>
          <w:sz w:val="15"/>
          <w:szCs w:val="15"/>
          <w:color w:val="auto"/>
        </w:rPr>
        <w:t>” means Navan, in its capacity as servicer under the Servicing Agreement, any Backup Servicer under the Backup Servicing Agreement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any other successor servicer appointed in accordance with the Facility Documents.</w:t>
      </w:r>
    </w:p>
    <w:p>
      <w:pPr>
        <w:spacing w:after="0" w:line="124"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384.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Servicer Event of Default</w:t>
      </w:r>
      <w:r>
        <w:rPr>
          <w:rFonts w:ascii="Times New Roman" w:cs="Times New Roman" w:eastAsia="Times New Roman" w:hAnsi="Times New Roman"/>
          <w:sz w:val="14"/>
          <w:szCs w:val="14"/>
          <w:color w:val="auto"/>
        </w:rPr>
        <w:t>” means a “Servicer Default” as such term is defined in the Servicing Agreement.</w:t>
      </w:r>
    </w:p>
    <w:p>
      <w:pPr>
        <w:spacing w:after="0" w:line="17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385.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Servicer Fee</w:t>
      </w:r>
      <w:r>
        <w:rPr>
          <w:rFonts w:ascii="Times New Roman" w:cs="Times New Roman" w:eastAsia="Times New Roman" w:hAnsi="Times New Roman"/>
          <w:sz w:val="15"/>
          <w:szCs w:val="15"/>
          <w:color w:val="auto"/>
        </w:rPr>
        <w:t>” means a fee payable to the Servicer in arrears on each Payment Date (in accordance with Section 9.01) in an amount equal to one-twelfth of the product of (a) the Servicer Fee Percentage and (b) the Dollar Equivalent of the Aggregate Eligible Receivable Balance on the last day of the immediately prior Collection Period (or, in the case of the Payment Date immediately following the Collection Period in which the initial Cutoff Date falls, the initial Cutoff Date).</w:t>
      </w:r>
    </w:p>
    <w:p>
      <w:pPr>
        <w:spacing w:after="0" w:line="145"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386.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Servicer Fee Percentage</w:t>
      </w:r>
      <w:r>
        <w:rPr>
          <w:rFonts w:ascii="Times New Roman" w:cs="Times New Roman" w:eastAsia="Times New Roman" w:hAnsi="Times New Roman"/>
          <w:sz w:val="14"/>
          <w:szCs w:val="14"/>
          <w:color w:val="auto"/>
        </w:rPr>
        <w:t>” means [***] basis points ([***]%) per annum.</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387.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Servicing Agreement</w:t>
      </w:r>
      <w:r>
        <w:rPr>
          <w:rFonts w:ascii="Times New Roman" w:cs="Times New Roman" w:eastAsia="Times New Roman" w:hAnsi="Times New Roman"/>
          <w:sz w:val="14"/>
          <w:szCs w:val="14"/>
          <w:color w:val="auto"/>
        </w:rPr>
        <w:t>” means (a) that certain Servicing Agreement dated as of the Closing Date, by and between the Borrower and the Servicer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any servicing agreement between the Borrower and the Backup Servicer, as successor servicer, or a successor servicer that is approved in writing by the Administrative Agent.</w:t>
      </w:r>
    </w:p>
    <w:p>
      <w:pPr>
        <w:spacing w:after="0" w:line="190"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388.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Six-Month Rolling Average Excess Spread</w:t>
      </w:r>
      <w:r>
        <w:rPr>
          <w:rFonts w:ascii="Times New Roman" w:cs="Times New Roman" w:eastAsia="Times New Roman" w:hAnsi="Times New Roman"/>
          <w:sz w:val="15"/>
          <w:szCs w:val="15"/>
          <w:color w:val="auto"/>
        </w:rPr>
        <w:t>” means, with respect to a Collection Period, the average of the Excess Spread Ratio for such Collection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Period and the five (5) preceding Collection Periods.</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389.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SOFR</w:t>
      </w:r>
      <w:r>
        <w:rPr>
          <w:rFonts w:ascii="Times New Roman" w:cs="Times New Roman" w:eastAsia="Times New Roman" w:hAnsi="Times New Roman"/>
          <w:sz w:val="14"/>
          <w:szCs w:val="14"/>
          <w:color w:val="auto"/>
        </w:rPr>
        <w:t>” means a rate equal to the secured overnight financing rate as administered by the SOFR Administrator.</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390.</w:t>
      </w:r>
      <w:r>
        <w:rPr>
          <w:sz w:val="20"/>
          <w:szCs w:val="20"/>
          <w:color w:val="auto"/>
        </w:rPr>
        <w:tab/>
      </w:r>
      <w:r>
        <w:rPr>
          <w:rFonts w:ascii="Times New Roman" w:cs="Times New Roman" w:eastAsia="Times New Roman" w:hAnsi="Times New Roman"/>
          <w:sz w:val="14"/>
          <w:szCs w:val="14"/>
          <w:i w:val="1"/>
          <w:iCs w:val="1"/>
          <w:color w:val="auto"/>
        </w:rPr>
        <w:t xml:space="preserve">“SOFR Administrator” </w:t>
      </w:r>
      <w:r>
        <w:rPr>
          <w:rFonts w:ascii="Times New Roman" w:cs="Times New Roman" w:eastAsia="Times New Roman" w:hAnsi="Times New Roman"/>
          <w:sz w:val="14"/>
          <w:szCs w:val="14"/>
          <w:color w:val="auto"/>
        </w:rPr>
        <w:t>means the Federal Reserve Bank of New York (or a successor administrator of the secured overnight financing rate).</w:t>
      </w:r>
    </w:p>
    <w:p>
      <w:pPr>
        <w:spacing w:after="0" w:line="17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391.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SOFR Rate</w:t>
      </w:r>
      <w:r>
        <w:rPr>
          <w:rFonts w:ascii="Times New Roman" w:cs="Times New Roman" w:eastAsia="Times New Roman" w:hAnsi="Times New Roman"/>
          <w:sz w:val="15"/>
          <w:szCs w:val="15"/>
          <w:color w:val="auto"/>
        </w:rPr>
        <w:t>” means Term SOFR as adjusted pursuant to the Adjusted Benchmark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that, for the avoidance of doubt, if the SOFR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 determined would be less than the Floor for any Interest Accrual Period, the SOFR Rate will be the Floor for such Interest Accrual Period.</w:t>
      </w:r>
    </w:p>
    <w:p>
      <w:pPr>
        <w:sectPr>
          <w:pgSz w:w="11900" w:h="16838" w:orient="portrait"/>
          <w:cols w:equalWidth="0" w:num="1">
            <w:col w:w="11280"/>
          </w:cols>
          <w:pgMar w:left="300" w:top="1148" w:right="319" w:bottom="1440" w:gutter="0" w:footer="0" w:header="0"/>
        </w:sectPr>
      </w:pPr>
    </w:p>
    <w:bookmarkStart w:id="246" w:name="page247"/>
    <w:bookmarkEnd w:id="246"/>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392.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Solvent</w:t>
      </w:r>
      <w:r>
        <w:rPr>
          <w:rFonts w:ascii="Times New Roman" w:cs="Times New Roman" w:eastAsia="Times New Roman" w:hAnsi="Times New Roman"/>
          <w:sz w:val="15"/>
          <w:szCs w:val="15"/>
          <w:color w:val="auto"/>
        </w:rPr>
        <w:t>” means, with respect to any Person, that as of the date of determination, both (a) (i) the sum of such Person’s debt (including contingent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liabilities) does not exceed the present fair saleable value of such Person’s present assets; (ii) such Person’s capital is not unreasonably small in relation to its business as contemplated on the Closing Date and reflected in any of its financial projections; and (iii) such Person has not incurred and does not intend to incur, or believe (nor should it reasonably believe) that it will incur, debts beyond its ability to pay such debts as they become due (whether at maturity or otherwise); and (b) such Person is “solvent” within the meaning given that term and similar terms under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pacing w:after="0" w:line="15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393.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Standard Securitization Undertakings</w:t>
      </w:r>
      <w:r>
        <w:rPr>
          <w:rFonts w:ascii="Times New Roman" w:cs="Times New Roman" w:eastAsia="Times New Roman" w:hAnsi="Times New Roman"/>
          <w:sz w:val="15"/>
          <w:szCs w:val="15"/>
          <w:color w:val="auto"/>
        </w:rPr>
        <w:t>” mean representations, warranties, covenants and indemnities entered into by Navan which are customary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warehouse or credit facilities secured by receivables and do not have the effect of guaranteeing the repayment of any such facility or limiting the loss or credit risk of lenders or purchasers with respect to payment or performance by the obligors of the receivables so transferred, including, without limitation, those relating to the servicing of the assets of a Warehouse SPV or repurchase obligations arising as a result of a breach of a representation, warranty or covenant.</w:t>
      </w:r>
    </w:p>
    <w:p>
      <w:pPr>
        <w:spacing w:after="0" w:line="138"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394.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Stripe</w:t>
      </w:r>
      <w:r>
        <w:rPr>
          <w:rFonts w:ascii="Times New Roman" w:cs="Times New Roman" w:eastAsia="Times New Roman" w:hAnsi="Times New Roman"/>
          <w:sz w:val="14"/>
          <w:szCs w:val="14"/>
          <w:color w:val="auto"/>
        </w:rPr>
        <w:t>” means Stripe, Inc.</w:t>
      </w:r>
    </w:p>
    <w:p>
      <w:pPr>
        <w:spacing w:after="0" w:line="186"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395.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Stripe Available Cash Account</w:t>
      </w:r>
      <w:r>
        <w:rPr>
          <w:rFonts w:ascii="Times New Roman" w:cs="Times New Roman" w:eastAsia="Times New Roman" w:hAnsi="Times New Roman"/>
          <w:sz w:val="15"/>
          <w:szCs w:val="15"/>
          <w:color w:val="auto"/>
        </w:rPr>
        <w:t>” means, collectively, the accounts held through Stripe at (i) Wells Fargo Bank, National Association with account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number ending with the last four digits of x0238, (ii) Banking Circle with account number ending with the last four digits of x0238 and (iii) Stripe Payments UK Ltd with account number ending with the last four digits of x4868.</w:t>
      </w:r>
    </w:p>
    <w:p>
      <w:pPr>
        <w:spacing w:after="0" w:line="14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396.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Subsidiary</w:t>
      </w:r>
      <w:r>
        <w:rPr>
          <w:rFonts w:ascii="Times New Roman" w:cs="Times New Roman" w:eastAsia="Times New Roman" w:hAnsi="Times New Roman"/>
          <w:sz w:val="15"/>
          <w:szCs w:val="15"/>
          <w:color w:val="auto"/>
        </w:rPr>
        <w:t>” means, with respect to any Person, any other Person more than 50% of the outstanding voting power of shares of stock or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provided, in determining the percentage of ownership interests of any Person controlled by another Person, no ownership interest in the nature of a “qualifying share” of the former Person shall be deemed to be outstanding.</w:t>
      </w:r>
    </w:p>
    <w:p>
      <w:pPr>
        <w:spacing w:after="0" w:line="140"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397.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Supported QFC</w:t>
      </w:r>
      <w:r>
        <w:rPr>
          <w:rFonts w:ascii="Times New Roman" w:cs="Times New Roman" w:eastAsia="Times New Roman" w:hAnsi="Times New Roman"/>
          <w:sz w:val="14"/>
          <w:szCs w:val="14"/>
          <w:color w:val="auto"/>
        </w:rPr>
        <w:t>” has the meaning specified in Section 12.22.</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398.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Syndication</w:t>
      </w:r>
      <w:r>
        <w:rPr>
          <w:rFonts w:ascii="Times New Roman" w:cs="Times New Roman" w:eastAsia="Times New Roman" w:hAnsi="Times New Roman"/>
          <w:sz w:val="14"/>
          <w:szCs w:val="14"/>
          <w:color w:val="auto"/>
        </w:rPr>
        <w:t>” has the meaning specified in Section 13.02(a).</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399.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Tangible Net Worth</w:t>
      </w:r>
      <w:r>
        <w:rPr>
          <w:rFonts w:ascii="Times New Roman" w:cs="Times New Roman" w:eastAsia="Times New Roman" w:hAnsi="Times New Roman"/>
          <w:sz w:val="15"/>
          <w:szCs w:val="15"/>
          <w:color w:val="auto"/>
        </w:rPr>
        <w:t>” means, as of any date of determination, the consolidated Net Worth of Navan less the consolidated net book value of all assets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of Navan and its</w:t>
      </w:r>
    </w:p>
    <w:p>
      <w:pPr>
        <w:sectPr>
          <w:pgSz w:w="11900" w:h="16838" w:orient="portrait"/>
          <w:cols w:equalWidth="0" w:num="1">
            <w:col w:w="11280"/>
          </w:cols>
          <w:pgMar w:left="300" w:top="1148" w:right="3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color w:val="auto"/>
        </w:rPr>
        <w:t>Subsidiaries on a consolidated basis (to the extent reflected as an asset on the consolidated balance sheet of Navan at such date) which will be treated as intangibles under GAAP.</w:t>
      </w:r>
    </w:p>
    <w:p>
      <w:pPr>
        <w:spacing w:after="0" w:line="208"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ARTICLE 400.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Target Interest and Fees Amount</w:t>
      </w:r>
      <w:r>
        <w:rPr>
          <w:rFonts w:ascii="Times New Roman" w:cs="Times New Roman" w:eastAsia="Times New Roman" w:hAnsi="Times New Roman"/>
          <w:sz w:val="15"/>
          <w:szCs w:val="15"/>
          <w:color w:val="auto"/>
        </w:rPr>
        <w:t>” means, for any Business Day during a Collection Period, an amount equal to the sum of (i) the amounts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described in Section 9.01(b)(i) and (ii) that have accrued as of such date and that are due and payable on the next Payment Date, (ii) the Class A Interest, Class A Unused Fees, Class A Prepayment Premiums, Class A Exit Fees and Class A Minimum Utilization Fees that have accrued as of such date and that are due and payable on the next Payment Date and (iii) the Class B Interest, Class B Unused Fees, Class B Prepayment Premiums and Class B Minimum Utilization Fees that have accrued as of such date and that are due and payable on the next Payment Date.</w:t>
      </w:r>
    </w:p>
    <w:p>
      <w:pPr>
        <w:spacing w:after="0" w:line="343"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401.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means all present or future taxes, levies, imposts, duties, deductions, withholdings (including backup withholding), assessments, fees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other charges imposed by any Governmental Authority, including any interest, additions to tax or penalties applicable thereto.</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402.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Term SOFR</w:t>
      </w:r>
      <w:r>
        <w:rPr>
          <w:rFonts w:ascii="Times New Roman" w:cs="Times New Roman" w:eastAsia="Times New Roman" w:hAnsi="Times New Roman"/>
          <w:sz w:val="15"/>
          <w:szCs w:val="15"/>
          <w:color w:val="auto"/>
        </w:rPr>
        <w:t>” means, for any calculation with respect to an Advance that bears Interest at a rate based on Term SOFR, the Term SOFR 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Rate for a tenor comparable to the applicable Interest Accrual Period on the day (such day, the </w:t>
      </w:r>
      <w:r>
        <w:rPr>
          <w:rFonts w:ascii="Times New Roman" w:cs="Times New Roman" w:eastAsia="Times New Roman" w:hAnsi="Times New Roman"/>
          <w:sz w:val="15"/>
          <w:szCs w:val="15"/>
          <w:i w:val="1"/>
          <w:iCs w:val="1"/>
          <w:color w:val="auto"/>
        </w:rPr>
        <w:t>“Periodic Term SOFR Determination Day”</w:t>
      </w:r>
      <w:r>
        <w:rPr>
          <w:rFonts w:ascii="Times New Roman" w:cs="Times New Roman" w:eastAsia="Times New Roman" w:hAnsi="Times New Roman"/>
          <w:sz w:val="15"/>
          <w:szCs w:val="15"/>
          <w:color w:val="auto"/>
        </w:rPr>
        <w:t xml:space="preserve">) that is two (2) U.S. Government Securities Business Days prior to the first day of such Interest Accrual Period, as such rate is published by the Term SOFR Administrator;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55"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403. </w:t>
      </w:r>
      <w:r>
        <w:rPr>
          <w:rFonts w:ascii="Times New Roman" w:cs="Times New Roman" w:eastAsia="Times New Roman" w:hAnsi="Times New Roman"/>
          <w:sz w:val="15"/>
          <w:szCs w:val="15"/>
          <w:i w:val="1"/>
          <w:iCs w:val="1"/>
          <w:color w:val="auto"/>
        </w:rPr>
        <w:t>“Term SOFR Administrator”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means CME Group Benchmark Administration Limited (CBA) (or a successor administrator of the Term SOFR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Reference Rate selected by the Administrative Agent in its reasonable discretion).</w:t>
      </w:r>
    </w:p>
    <w:p>
      <w:pPr>
        <w:spacing w:after="0" w:line="13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404.</w:t>
      </w:r>
      <w:r>
        <w:rPr>
          <w:sz w:val="20"/>
          <w:szCs w:val="20"/>
          <w:color w:val="auto"/>
        </w:rPr>
        <w:tab/>
      </w:r>
      <w:r>
        <w:rPr>
          <w:rFonts w:ascii="Times New Roman" w:cs="Times New Roman" w:eastAsia="Times New Roman" w:hAnsi="Times New Roman"/>
          <w:sz w:val="14"/>
          <w:szCs w:val="14"/>
          <w:i w:val="1"/>
          <w:iCs w:val="1"/>
          <w:color w:val="auto"/>
        </w:rPr>
        <w:t xml:space="preserve">“Term SOFR Reference Rate” </w:t>
      </w:r>
      <w:r>
        <w:rPr>
          <w:rFonts w:ascii="Times New Roman" w:cs="Times New Roman" w:eastAsia="Times New Roman" w:hAnsi="Times New Roman"/>
          <w:sz w:val="14"/>
          <w:szCs w:val="14"/>
          <w:color w:val="auto"/>
        </w:rPr>
        <w:t>means the forward-looking term rate based on SOFR.</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ARTICLE 405.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Termination Date</w:t>
      </w:r>
      <w:r>
        <w:rPr>
          <w:rFonts w:ascii="Times New Roman" w:cs="Times New Roman" w:eastAsia="Times New Roman" w:hAnsi="Times New Roman"/>
          <w:sz w:val="15"/>
          <w:szCs w:val="15"/>
          <w:color w:val="auto"/>
        </w:rPr>
        <w:t>” means the last day of the Reinvestment Period or, if the Reinvestment Period has been reinstated, the last day of such reinstated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Reinvestment Period;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if the Termination Date would otherwise not be a Business Day, then the Termination Date shall be the immediately succeeding Business Day.</w:t>
      </w:r>
    </w:p>
    <w:p>
      <w:pPr>
        <w:spacing w:after="0" w:line="142"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406.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Three-Month Rolling Average Default Ratio</w:t>
      </w:r>
      <w:r>
        <w:rPr>
          <w:rFonts w:ascii="Times New Roman" w:cs="Times New Roman" w:eastAsia="Times New Roman" w:hAnsi="Times New Roman"/>
          <w:sz w:val="15"/>
          <w:szCs w:val="15"/>
          <w:color w:val="auto"/>
        </w:rPr>
        <w:t>” means, as of any date of determination, the average of the Default Ratios for each of the three most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recently ended Collection Periods.</w:t>
      </w:r>
    </w:p>
    <w:p>
      <w:pPr>
        <w:sectPr>
          <w:pgSz w:w="11900" w:h="16838" w:orient="portrait"/>
          <w:cols w:equalWidth="0" w:num="1">
            <w:col w:w="11280"/>
          </w:cols>
          <w:pgMar w:left="300" w:top="1139" w:right="319" w:bottom="1440" w:gutter="0" w:footer="0" w:header="0"/>
        </w:sectPr>
      </w:pPr>
    </w:p>
    <w:bookmarkStart w:id="248" w:name="page249"/>
    <w:bookmarkEnd w:id="248"/>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407.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Three-Month Rolling Average Delinquency Ratio</w:t>
      </w:r>
      <w:r>
        <w:rPr>
          <w:rFonts w:ascii="Times New Roman" w:cs="Times New Roman" w:eastAsia="Times New Roman" w:hAnsi="Times New Roman"/>
          <w:sz w:val="15"/>
          <w:szCs w:val="15"/>
          <w:color w:val="auto"/>
        </w:rPr>
        <w:t>” means, as of any date of determination, the average of the Delinquency Ratios for each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three most recently ended Collection Periods.</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408.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Three-Month Rolling Average Excess Spread</w:t>
      </w:r>
      <w:r>
        <w:rPr>
          <w:rFonts w:ascii="Times New Roman" w:cs="Times New Roman" w:eastAsia="Times New Roman" w:hAnsi="Times New Roman"/>
          <w:sz w:val="15"/>
          <w:szCs w:val="15"/>
          <w:color w:val="auto"/>
        </w:rPr>
        <w:t>” means, with respect to a Collection Period, the average of the Excess Spread Ratio for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Collection Period and the two (2) preceding Collection Periods.</w:t>
      </w:r>
    </w:p>
    <w:p>
      <w:pPr>
        <w:spacing w:after="0" w:line="113"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409.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Tier II</w:t>
      </w:r>
      <w:r>
        <w:rPr>
          <w:rFonts w:ascii="Times New Roman" w:cs="Times New Roman" w:eastAsia="Times New Roman" w:hAnsi="Times New Roman"/>
          <w:sz w:val="15"/>
          <w:szCs w:val="15"/>
          <w:color w:val="auto"/>
        </w:rPr>
        <w:t>” means the credit risk segment of the Credit Policy based on payment behavior and credit bureau for back book accounts originated prior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April 1, 2022 and as reflected on the Data Tape.</w:t>
      </w:r>
    </w:p>
    <w:p>
      <w:pPr>
        <w:spacing w:after="0" w:line="12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Tier III</w:t>
      </w:r>
      <w:r>
        <w:rPr>
          <w:rFonts w:ascii="Times New Roman" w:cs="Times New Roman" w:eastAsia="Times New Roman" w:hAnsi="Times New Roman"/>
          <w:sz w:val="15"/>
          <w:szCs w:val="15"/>
          <w:color w:val="auto"/>
        </w:rPr>
        <w:t>” means the credit risk segment of the Credit Policy based on payment behavior for back book accounts with no valid credit bureau score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originated prior to April 1, 2022 and as reflected on the Data Tape.</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Trade Credit Insurance</w:t>
      </w:r>
      <w:r>
        <w:rPr>
          <w:rFonts w:ascii="Times New Roman" w:cs="Times New Roman" w:eastAsia="Times New Roman" w:hAnsi="Times New Roman"/>
          <w:sz w:val="15"/>
          <w:szCs w:val="15"/>
          <w:color w:val="auto"/>
        </w:rPr>
        <w:t>” means, in respect of any Obligor, trade credit insurance procured by Navan insuring all or a portion of the credit risk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such Obligor under Receivables of such Obligor.</w:t>
      </w:r>
    </w:p>
    <w:p>
      <w:pPr>
        <w:spacing w:after="0" w:line="13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Trade Credit Insurance Recoveries</w:t>
      </w:r>
      <w:r>
        <w:rPr>
          <w:rFonts w:ascii="Times New Roman" w:cs="Times New Roman" w:eastAsia="Times New Roman" w:hAnsi="Times New Roman"/>
          <w:sz w:val="15"/>
          <w:szCs w:val="15"/>
          <w:color w:val="auto"/>
        </w:rPr>
        <w:t>” means, in respect of any Obligor, insurance proceeds received by Navan or the Borrower from the applicable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insurer under any Trade Credit Insurance relating to such Obligor.</w:t>
      </w:r>
    </w:p>
    <w:p>
      <w:pPr>
        <w:spacing w:after="0" w:line="11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 xml:space="preserve">ARTICLE 413.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UCC</w:t>
      </w:r>
      <w:r>
        <w:rPr>
          <w:rFonts w:ascii="Times New Roman" w:cs="Times New Roman" w:eastAsia="Times New Roman" w:hAnsi="Times New Roman"/>
          <w:sz w:val="15"/>
          <w:szCs w:val="15"/>
          <w:color w:val="auto"/>
        </w:rPr>
        <w:t>” means the Uniform Commercial Code, as from time to time in effect in the State of New York; provided that if, by reason of any mandatory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provisions of law, the perfection, the effect of perfection or non-perfection or priority of the security interests granted to the Administrative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4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414.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UK Financial Institution</w:t>
      </w:r>
      <w:r>
        <w:rPr>
          <w:rFonts w:ascii="Times New Roman" w:cs="Times New Roman" w:eastAsia="Times New Roman" w:hAnsi="Times New Roman"/>
          <w:sz w:val="15"/>
          <w:szCs w:val="15"/>
          <w:color w:val="auto"/>
        </w:rPr>
        <w:t>” means any BRRD Undertaking (as such term is defined under the PRA Rulebook (as amended form time to 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44"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UK Resolution Authority</w:t>
      </w:r>
      <w:r>
        <w:rPr>
          <w:rFonts w:ascii="Times New Roman" w:cs="Times New Roman" w:eastAsia="Times New Roman" w:hAnsi="Times New Roman"/>
          <w:sz w:val="15"/>
          <w:szCs w:val="15"/>
          <w:color w:val="auto"/>
        </w:rPr>
        <w:t>” means the Bank of England or any other public administrative authority having responsibility for the resolution of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UK Financial Institution.</w:t>
      </w:r>
    </w:p>
    <w:p>
      <w:pPr>
        <w:spacing w:after="0" w:line="13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Unmatured Accelerated Amortization Event</w:t>
      </w:r>
      <w:r>
        <w:rPr>
          <w:rFonts w:ascii="Times New Roman" w:cs="Times New Roman" w:eastAsia="Times New Roman" w:hAnsi="Times New Roman"/>
          <w:sz w:val="15"/>
          <w:szCs w:val="15"/>
          <w:color w:val="auto"/>
        </w:rPr>
        <w:t>” means any event which, with the passage of time, the giving of notice, or both, would constitute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Accelerated Amortization Event (other than an Accelerated Amortization Event described in clause (d) of the definition thereof).</w:t>
      </w:r>
    </w:p>
    <w:p>
      <w:pPr>
        <w:sectPr>
          <w:pgSz w:w="11900" w:h="16838" w:orient="portrait"/>
          <w:cols w:equalWidth="0" w:num="1">
            <w:col w:w="11280"/>
          </w:cols>
          <w:pgMar w:left="300" w:top="1148" w:right="319" w:bottom="1440" w:gutter="0" w:footer="0" w:header="0"/>
        </w:sectPr>
      </w:pPr>
    </w:p>
    <w:bookmarkStart w:id="249" w:name="page250"/>
    <w:bookmarkEnd w:id="249"/>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Unmatured Event of Default</w:t>
      </w:r>
      <w:r>
        <w:rPr>
          <w:rFonts w:ascii="Times New Roman" w:cs="Times New Roman" w:eastAsia="Times New Roman" w:hAnsi="Times New Roman"/>
          <w:sz w:val="14"/>
          <w:szCs w:val="14"/>
          <w:color w:val="auto"/>
        </w:rPr>
        <w:t>” means any event which, with the passage of time, the giving of notice, or both, would constitute an Event of Default.</w:t>
      </w:r>
    </w:p>
    <w:p>
      <w:pPr>
        <w:spacing w:after="0" w:line="18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Unmatured Limited Guaranty Event of Default</w:t>
      </w:r>
      <w:r>
        <w:rPr>
          <w:rFonts w:ascii="Times New Roman" w:cs="Times New Roman" w:eastAsia="Times New Roman" w:hAnsi="Times New Roman"/>
          <w:sz w:val="15"/>
          <w:szCs w:val="15"/>
          <w:color w:val="auto"/>
        </w:rPr>
        <w:t>” means any event which, with the passage of time, the giving of notice, or both, would constitute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Limited Guaranty Event of Default.</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Unmatured Servicer Event of Default</w:t>
      </w:r>
      <w:r>
        <w:rPr>
          <w:rFonts w:ascii="Times New Roman" w:cs="Times New Roman" w:eastAsia="Times New Roman" w:hAnsi="Times New Roman"/>
          <w:sz w:val="15"/>
          <w:szCs w:val="15"/>
          <w:color w:val="auto"/>
        </w:rPr>
        <w:t>” means any event which, with the passage of time, the giving of notice, or both, would constitute a Servicer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Event of Default.</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 xml:space="preserve">ARTICLE 420.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Unrestricted Cash</w:t>
      </w:r>
      <w:r>
        <w:rPr>
          <w:rFonts w:ascii="Times New Roman" w:cs="Times New Roman" w:eastAsia="Times New Roman" w:hAnsi="Times New Roman"/>
          <w:sz w:val="15"/>
          <w:szCs w:val="15"/>
          <w:color w:val="auto"/>
        </w:rPr>
        <w:t>” means, with respect to Navan and its consolidated Subsidiaries, as of any date of determination, the sum of (x) solely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extent that such amounts are available to be drawn pursuant to the terms of this Agreement, the excess of (A) the Maximum Available Amount on such date over (B) the Aggregate Loan Principal Balance on such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however, that as of any date of determination, the amount pursuant to this clause (x) shall not exceed one-third of the aggregate amount of Unrestricted Cash of Navan and its consolidated Subsidiaries on such date, (y) an amount equal to the lesser of (A) the product of (1) [***]% and (2) the amount on deposit in the Stripe Available Cash Account on such date and (B) $[***], and (z) the cash and cash equivalents of Navan and its consolidated Subsidiaries that (i) in accordance with GAAP are not reflected as “restricted” on the consolidated balance sheet of Navan and (ii) (A) is not (and the deposit account or securities account in which it is held is not) subject to any Lien or other preferential arrangement in favor of any creditor (other than, in respect of any such deposit account or securities account, bankers’ liens, rights of setoff and similar Liens granted to financial institutions maintaining such accounts), or (B) if such cash and cash equivalents (and the deposit account or securities account in which it is held) are subject to any Lien or other preferential arrangement in favor of any creditor (other than, in respect of any such deposit account or securities account, bankers’ liens, rights of setoff and similar Liens granted to financial institutions maintaining such accounts), on such date (x) no default has occurred under the transaction documents governing the related Indebtedness and the creation of such Lien, it being agreed that a customary “cash dominion” or similar mechanism or feature contained in any such asset-based Indebtedness shall be deemed a “default” for these purposes; provided, that if such default has occurred, such default shall be subject to the Cross-Default Cure Period and (y) such creditor has contractually agreed that it will not exercise dominion or right of setoff or otherwise prevent Navan or its consolidated Subsidiaries from accessing and utilizing funds credited to such deposit or securities account unless an event of default (after giving effect to any applicable cure period) has occurred under such transaction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however, that for the avoidance of doubt, any amount on deposit in the Stripe Available Cash Account shall not be included in the calculation of the cash and cash equivalents for purposes of this clause (z).</w:t>
      </w:r>
    </w:p>
    <w:p>
      <w:pPr>
        <w:spacing w:after="0" w:line="334"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421.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means the United States of America.</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422.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Borrower</w:t>
      </w:r>
      <w:r>
        <w:rPr>
          <w:rFonts w:ascii="Times New Roman" w:cs="Times New Roman" w:eastAsia="Times New Roman" w:hAnsi="Times New Roman"/>
          <w:sz w:val="14"/>
          <w:szCs w:val="14"/>
          <w:color w:val="auto"/>
        </w:rPr>
        <w:t>” means any Borrower that is a U.S. Person.</w:t>
      </w:r>
    </w:p>
    <w:p>
      <w:pPr>
        <w:spacing w:after="0" w:line="18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ARTICLE 423.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U.S. Government Securities Business Day</w:t>
      </w:r>
      <w:r>
        <w:rPr>
          <w:rFonts w:ascii="Times New Roman" w:cs="Times New Roman" w:eastAsia="Times New Roman" w:hAnsi="Times New Roman"/>
          <w:sz w:val="15"/>
          <w:szCs w:val="15"/>
          <w:color w:val="auto"/>
        </w:rPr>
        <w:t>” means any day except for (i) a Saturday, (ii) a Sunday or (iii) a day on which the Securities Industry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and Financial Markets Association recommends that the fixed income departments of its members be closed for the entire day for purposes of trading in United States government securities.</w:t>
      </w:r>
    </w:p>
    <w:p>
      <w:pPr>
        <w:sectPr>
          <w:pgSz w:w="11900" w:h="16838" w:orient="portrait"/>
          <w:cols w:equalWidth="0" w:num="1">
            <w:col w:w="11280"/>
          </w:cols>
          <w:pgMar w:left="300" w:top="1148" w:right="319" w:bottom="1440" w:gutter="0" w:footer="0" w:header="0"/>
        </w:sectPr>
      </w:pPr>
    </w:p>
    <w:bookmarkStart w:id="250" w:name="page251"/>
    <w:bookmarkEnd w:id="250"/>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424.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Person</w:t>
      </w:r>
      <w:r>
        <w:rPr>
          <w:rFonts w:ascii="Times New Roman" w:cs="Times New Roman" w:eastAsia="Times New Roman" w:hAnsi="Times New Roman"/>
          <w:sz w:val="14"/>
          <w:szCs w:val="14"/>
          <w:color w:val="auto"/>
        </w:rPr>
        <w:t>” means any Person that is a “United States person” as defined in Section 7701(a)(30) of the Code.</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425.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Special Resolution Regimes</w:t>
      </w:r>
      <w:r>
        <w:rPr>
          <w:rFonts w:ascii="Times New Roman" w:cs="Times New Roman" w:eastAsia="Times New Roman" w:hAnsi="Times New Roman"/>
          <w:sz w:val="14"/>
          <w:szCs w:val="14"/>
          <w:color w:val="auto"/>
        </w:rPr>
        <w:t>” has the meaning specified in Section 12.22.</w:t>
      </w:r>
    </w:p>
    <w:p>
      <w:pPr>
        <w:spacing w:after="0" w:line="17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Tax Compliance Certificate</w:t>
      </w:r>
      <w:r>
        <w:rPr>
          <w:rFonts w:ascii="Times New Roman" w:cs="Times New Roman" w:eastAsia="Times New Roman" w:hAnsi="Times New Roman"/>
          <w:sz w:val="14"/>
          <w:szCs w:val="14"/>
          <w:color w:val="auto"/>
        </w:rPr>
        <w:t>” has the meaning specified in Section 12.03(g).</w:t>
      </w:r>
    </w:p>
    <w:p>
      <w:pPr>
        <w:spacing w:after="0" w:line="186"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427.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Volcker Rule</w:t>
      </w:r>
      <w:r>
        <w:rPr>
          <w:rFonts w:ascii="Times New Roman" w:cs="Times New Roman" w:eastAsia="Times New Roman" w:hAnsi="Times New Roman"/>
          <w:sz w:val="14"/>
          <w:szCs w:val="14"/>
          <w:color w:val="auto"/>
        </w:rPr>
        <w:t>” has the meaning specified in Section 4.01(h).</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ARTICLE 428.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WA Class A Advance Rate</w:t>
      </w:r>
      <w:r>
        <w:rPr>
          <w:rFonts w:ascii="Times New Roman" w:cs="Times New Roman" w:eastAsia="Times New Roman" w:hAnsi="Times New Roman"/>
          <w:sz w:val="15"/>
          <w:szCs w:val="15"/>
          <w:color w:val="auto"/>
        </w:rPr>
        <w:t>” means, on any date of determination, a fraction (expressed as a percentage) (x) the numerator of which is the sum of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Dollar Equivalent of the Aggregate Eligible Receivable Balance of all Eligible Receivables other than 8-30-day Delinquent Receivables on such date and (b) 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Adjusted 8-30 Eligible Receivable Balance on such date, and (y) the denominator of which is the sum of (1) the Dollar Equivalent of the Aggregate Eligible Receivable Balance of all Eligible Receivables other than 8-30-day Delinquent Receivables on such date plus (2) the Adjusted 8-30 Eligible Receivable Balance on such date.</w:t>
      </w:r>
    </w:p>
    <w:p>
      <w:pPr>
        <w:spacing w:after="0" w:line="34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 xml:space="preserve">ARTICLE 429.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WA Class B Advance Rate</w:t>
      </w:r>
      <w:r>
        <w:rPr>
          <w:rFonts w:ascii="Times New Roman" w:cs="Times New Roman" w:eastAsia="Times New Roman" w:hAnsi="Times New Roman"/>
          <w:sz w:val="15"/>
          <w:szCs w:val="15"/>
          <w:color w:val="auto"/>
        </w:rPr>
        <w:t>” means, on any date of determination, a fraction (expressed as a percentage) (x) the numerator of which is the sum of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Dollar Equivalent of the Aggregate Eligible Receivable Balance of all Eligible Receivables other than 8-30-day Delinquent Receivables on such date and (b) the product of (i)(I) [***]% or, from and after the occurrence of a Level I Trigger Event and until such Level I Trigger Event is Cured, [***]%, minus (II) if the Six-Month Rolling Average Excess Spread is less than the Excess Spread Threshold, a percentage equal to the product of (x)(1) the Excess Spread Threshold minus (2) the Six-Month Rolling Average Excess Spread and (y) 12, minus (III) if the Unrestricted Cash of Navan is less than an amount equal to the sum of the Average Monthly Burn for the preceding nine (9) calendar months, [***]%; and (ii) the Adjusted 8-30 Eligible Receivable Balance on such date, and (y) the denominator of which is the sum of (1) the Dollar Equivalent of the Aggregate Eligible Receivable</w:t>
      </w:r>
    </w:p>
    <w:p>
      <w:pPr>
        <w:sectPr>
          <w:pgSz w:w="11900" w:h="16838" w:orient="portrait"/>
          <w:cols w:equalWidth="0" w:num="1">
            <w:col w:w="11280"/>
          </w:cols>
          <w:pgMar w:left="300" w:top="1148"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color w:val="auto"/>
        </w:rPr>
        <w:t>Balance of all Eligible Receivables other than 8-30-day Delinquent Receivables on such date plus (2) the Adjusted 8-30 Eligible Receivable Balance on such date.</w:t>
      </w:r>
    </w:p>
    <w:p>
      <w:pPr>
        <w:spacing w:after="0" w:line="185"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430.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Waiver</w:t>
      </w:r>
      <w:r>
        <w:rPr>
          <w:rFonts w:ascii="Times New Roman" w:cs="Times New Roman" w:eastAsia="Times New Roman" w:hAnsi="Times New Roman"/>
          <w:sz w:val="15"/>
          <w:szCs w:val="15"/>
          <w:color w:val="auto"/>
        </w:rPr>
        <w:t>” means that certain Waiver, dated December 11, 2025, by and among the Borrower, Navan and the Administrative Agent relating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ineligible receivables, certain collections and certain reporting deliverables.</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7"/>
          <w:szCs w:val="17"/>
          <w:color w:val="auto"/>
        </w:rPr>
        <w:t xml:space="preserve">ARTICLE 431.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Warehouse SPV</w:t>
      </w:r>
      <w:r>
        <w:rPr>
          <w:rFonts w:ascii="Times New Roman" w:cs="Times New Roman" w:eastAsia="Times New Roman" w:hAnsi="Times New Roman"/>
          <w:sz w:val="15"/>
          <w:szCs w:val="15"/>
          <w:color w:val="auto"/>
        </w:rPr>
        <w:t>” means a bankruptcy-remote, special purpose entity formed for the purpose of acquiring receivables similar to the Receivables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from Navan and borrowing funds under a limited or non-recourse (other than Standard Securitization Undertakings) warehouse or credit facility secured by such receivables.</w:t>
      </w:r>
    </w:p>
    <w:p>
      <w:pPr>
        <w:spacing w:after="0" w:line="136" w:lineRule="exact"/>
        <w:rPr>
          <w:sz w:val="20"/>
          <w:szCs w:val="20"/>
          <w:color w:val="auto"/>
        </w:rPr>
      </w:pPr>
    </w:p>
    <w:p>
      <w:pPr>
        <w:jc w:val="both"/>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432.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Withdrawal Liability</w:t>
      </w:r>
      <w:r>
        <w:rPr>
          <w:rFonts w:ascii="Times New Roman" w:cs="Times New Roman" w:eastAsia="Times New Roman" w:hAnsi="Times New Roman"/>
          <w:sz w:val="15"/>
          <w:szCs w:val="15"/>
          <w:color w:val="auto"/>
        </w:rPr>
        <w:t>” means liability to a Multiemployer Plan as a result of a complete or partial withdrawal from such Multiemployer Plan,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such terms are defined in Part I of Subtitle E of Title IV of ERISA.</w:t>
      </w:r>
    </w:p>
    <w:p>
      <w:pPr>
        <w:spacing w:after="0" w:line="113"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7"/>
          <w:szCs w:val="17"/>
          <w:color w:val="auto"/>
        </w:rPr>
        <w:t>ARTICLE 433.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Withholding Agent</w:t>
      </w:r>
      <w:r>
        <w:rPr>
          <w:rFonts w:ascii="Times New Roman" w:cs="Times New Roman" w:eastAsia="Times New Roman" w:hAnsi="Times New Roman"/>
          <w:sz w:val="14"/>
          <w:szCs w:val="14"/>
          <w:color w:val="auto"/>
        </w:rPr>
        <w:t>” means the Borrower and the Administrative Agent.</w:t>
      </w:r>
    </w:p>
    <w:p>
      <w:pPr>
        <w:spacing w:after="0" w:line="18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434.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Write-Down and Conversion Powers</w:t>
      </w:r>
      <w:r>
        <w:rPr>
          <w:rFonts w:ascii="Times New Roman" w:cs="Times New Roman" w:eastAsia="Times New Roman" w:hAnsi="Times New Roman"/>
          <w:sz w:val="15"/>
          <w:szCs w:val="15"/>
          <w:color w:val="auto"/>
        </w:rPr>
        <w:t>” means, (a) with respect to any EEA Resolution Authority, the write-down and conversion powers of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4"/>
          <w:szCs w:val="14"/>
          <w:i w:val="1"/>
          <w:iCs w:val="1"/>
          <w:color w:val="auto"/>
        </w:rPr>
        <w:t>Section 434.01 Rules of Construction</w:t>
      </w:r>
      <w:r>
        <w:rPr>
          <w:rFonts w:ascii="Times New Roman" w:cs="Times New Roman" w:eastAsia="Times New Roman" w:hAnsi="Times New Roman"/>
          <w:sz w:val="14"/>
          <w:szCs w:val="14"/>
          <w:color w:val="auto"/>
        </w:rPr>
        <w:t>. For all purposes of this Agreement, except as otherwise expressly provided or unless the context otherwise requires (a) singular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words shall connote the plural as well as the singular, and vice versa (except as indicated), as may be appropriate, and “or” is not exclusive, (b) the words “herein,” “hereof” and</w:t>
      </w:r>
    </w:p>
    <w:p>
      <w:pPr>
        <w:jc w:val="both"/>
        <w:spacing w:after="0" w:line="229" w:lineRule="auto"/>
        <w:rPr>
          <w:sz w:val="20"/>
          <w:szCs w:val="20"/>
          <w:color w:val="auto"/>
        </w:rPr>
      </w:pPr>
      <w:r>
        <w:rPr>
          <w:rFonts w:ascii="Times New Roman" w:cs="Times New Roman" w:eastAsia="Times New Roman" w:hAnsi="Times New Roman"/>
          <w:sz w:val="14"/>
          <w:szCs w:val="14"/>
          <w:color w:val="auto"/>
        </w:rPr>
        <w:t>“hereunder” and other words of similar import used in this Agreement refer to this Agreement as a whole and not to any particular article, schedule, section, paragraph, clause, exhibit or other subdivision, (c) the headings, subheadings and table of contents set forth in this Agreement are solely for convenience of reference and shall not constitute a part of</w:t>
      </w:r>
    </w:p>
    <w:p>
      <w:pPr>
        <w:spacing w:after="0" w:line="237" w:lineRule="auto"/>
        <w:rPr>
          <w:sz w:val="20"/>
          <w:szCs w:val="20"/>
          <w:color w:val="auto"/>
        </w:rPr>
      </w:pPr>
      <w:r>
        <w:rPr>
          <w:rFonts w:ascii="Times New Roman" w:cs="Times New Roman" w:eastAsia="Times New Roman" w:hAnsi="Times New Roman"/>
          <w:sz w:val="14"/>
          <w:szCs w:val="14"/>
          <w:color w:val="auto"/>
        </w:rPr>
        <w:t>this Agreement nor shall they affect the meaning, construction or effect of any provision hereof, (d) references in this Agreement to “include” or “including” shall mean include 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(e) each of the parties to this Agreement and its</w:t>
      </w:r>
    </w:p>
    <w:p>
      <w:pPr>
        <w:spacing w:after="0" w:line="237" w:lineRule="auto"/>
        <w:rPr>
          <w:sz w:val="20"/>
          <w:szCs w:val="20"/>
          <w:color w:val="auto"/>
        </w:rPr>
      </w:pPr>
      <w:r>
        <w:rPr>
          <w:rFonts w:ascii="Times New Roman" w:cs="Times New Roman" w:eastAsia="Times New Roman" w:hAnsi="Times New Roman"/>
          <w:sz w:val="14"/>
          <w:szCs w:val="14"/>
          <w:color w:val="auto"/>
        </w:rPr>
        <w:t>counsel have reviewed and revised, or requested revisions to, this Agreement, and the rule of construction that any ambiguities are to be resolved against the drafting party shall be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inapplicable in the construction and interpretation of this Agreement, (f) any definition of or reference to any Facility Document, agreement, instrument or other document herein shall be construed as referring to such agreement, instrument or other document as from time to time amended, restated, supplemented or otherwise modified (subject to any</w:t>
      </w:r>
    </w:p>
    <w:p>
      <w:pPr>
        <w:spacing w:after="0" w:line="237" w:lineRule="auto"/>
        <w:rPr>
          <w:sz w:val="20"/>
          <w:szCs w:val="20"/>
          <w:color w:val="auto"/>
        </w:rPr>
      </w:pPr>
      <w:r>
        <w:rPr>
          <w:rFonts w:ascii="Times New Roman" w:cs="Times New Roman" w:eastAsia="Times New Roman" w:hAnsi="Times New Roman"/>
          <w:sz w:val="14"/>
          <w:szCs w:val="14"/>
          <w:color w:val="auto"/>
        </w:rPr>
        <w:t>restrictions on such amendments, restatements, supplements or modifications set forth herein), (g) any reference herein to any Person shall be construed to include such Person’s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successors and assigns (subject to any restrictions set forth herein or in any other applicable agreement), (h) any reference to any law or regulation herein shall refer to such law or regulation as</w:t>
      </w:r>
    </w:p>
    <w:p>
      <w:pPr>
        <w:sectPr>
          <w:pgSz w:w="11900" w:h="16838" w:orient="portrait"/>
          <w:cols w:equalWidth="0" w:num="1">
            <w:col w:w="11280"/>
          </w:cols>
          <w:pgMar w:left="300" w:top="1139" w:right="31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color w:val="auto"/>
        </w:rPr>
        <w:t>amended, modified or supplemented from time to time and (i) each reference to time without further specification shall mean New York City Time.</w:t>
      </w:r>
    </w:p>
    <w:p>
      <w:pPr>
        <w:spacing w:after="0" w:line="14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434.02 Computation of Time Periods. </w:t>
      </w:r>
      <w:r>
        <w:rPr>
          <w:rFonts w:ascii="Times New Roman" w:cs="Times New Roman" w:eastAsia="Times New Roman" w:hAnsi="Times New Roman"/>
          <w:sz w:val="14"/>
          <w:szCs w:val="14"/>
          <w:color w:val="auto"/>
        </w:rPr>
        <w:t>Unless otherwise stated in this Agreement, in the computation of a period of time from a specified date to a later specified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the word “from” means “from and including” and the words “to” and “until” both mean “to but excluding.” Periods of days referred to in this Agreement shall be counted in</w:t>
      </w:r>
    </w:p>
    <w:p>
      <w:pPr>
        <w:spacing w:after="0"/>
        <w:rPr>
          <w:sz w:val="20"/>
          <w:szCs w:val="20"/>
          <w:color w:val="auto"/>
        </w:rPr>
      </w:pPr>
      <w:r>
        <w:rPr>
          <w:rFonts w:ascii="Times New Roman" w:cs="Times New Roman" w:eastAsia="Times New Roman" w:hAnsi="Times New Roman"/>
          <w:sz w:val="16"/>
          <w:szCs w:val="16"/>
          <w:color w:val="auto"/>
        </w:rPr>
        <w:t>calendar days unless Business Days are expressly prescribed.</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434.03 Collateral Value Calculation Procedures. </w:t>
      </w:r>
      <w:r>
        <w:rPr>
          <w:rFonts w:ascii="Times New Roman" w:cs="Times New Roman" w:eastAsia="Times New Roman" w:hAnsi="Times New Roman"/>
          <w:sz w:val="14"/>
          <w:szCs w:val="14"/>
          <w:color w:val="auto"/>
        </w:rPr>
        <w:t>In connection with all calculations required to be made pursuant to this Agreement with respect to any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any other assets included in the Collateral, with respect to the sale of and reinvestment in Eligible Receivables, and with respect to the income that can be earned on any other</w:t>
      </w:r>
    </w:p>
    <w:p>
      <w:pPr>
        <w:spacing w:after="0" w:line="208" w:lineRule="auto"/>
        <w:rPr>
          <w:sz w:val="20"/>
          <w:szCs w:val="20"/>
          <w:color w:val="auto"/>
        </w:rPr>
      </w:pPr>
      <w:r>
        <w:rPr>
          <w:rFonts w:ascii="Times New Roman" w:cs="Times New Roman" w:eastAsia="Times New Roman" w:hAnsi="Times New Roman"/>
          <w:sz w:val="16"/>
          <w:szCs w:val="16"/>
          <w:color w:val="auto"/>
        </w:rPr>
        <w:t>amounts that may be received for deposit in any Collection Account, the provisions set forth in this Section 1.04 shall be applied. The provisions of this Section 1.04 shall be</w:t>
      </w:r>
    </w:p>
    <w:p>
      <w:pPr>
        <w:spacing w:after="0" w:line="217" w:lineRule="auto"/>
        <w:rPr>
          <w:sz w:val="20"/>
          <w:szCs w:val="20"/>
          <w:color w:val="auto"/>
        </w:rPr>
      </w:pPr>
      <w:r>
        <w:rPr>
          <w:rFonts w:ascii="Times New Roman" w:cs="Times New Roman" w:eastAsia="Times New Roman" w:hAnsi="Times New Roman"/>
          <w:sz w:val="16"/>
          <w:szCs w:val="16"/>
          <w:color w:val="auto"/>
        </w:rPr>
        <w:t>applicable to any determination or calculation that is covered by this Agreement, whether or not reference is specifically made to Section 1.04, unless some other method of calculation or determination is expressly specified in the particular provision.</w:t>
      </w:r>
    </w:p>
    <w:p>
      <w:pPr>
        <w:spacing w:after="0" w:line="127" w:lineRule="exact"/>
        <w:rPr>
          <w:sz w:val="20"/>
          <w:szCs w:val="20"/>
          <w:color w:val="auto"/>
        </w:rPr>
      </w:pPr>
    </w:p>
    <w:p>
      <w:pPr>
        <w:ind w:left="520" w:firstLine="503"/>
        <w:spacing w:after="0" w:line="235" w:lineRule="auto"/>
        <w:tabs>
          <w:tab w:leader="none" w:pos="153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in Section 9.01 to calculations made on a “pro forma basis” shall mean such calculations after giving effect to all payments, in accordance with Section 9.01, that precede (in priority of payment) or include the clause in which such calculation is made.</w:t>
      </w:r>
    </w:p>
    <w:p>
      <w:pPr>
        <w:spacing w:after="0" w:line="117" w:lineRule="exact"/>
        <w:rPr>
          <w:rFonts w:ascii="Times New Roman" w:cs="Times New Roman" w:eastAsia="Times New Roman" w:hAnsi="Times New Roman"/>
          <w:sz w:val="16"/>
          <w:szCs w:val="16"/>
          <w:color w:val="auto"/>
        </w:rPr>
      </w:pPr>
    </w:p>
    <w:p>
      <w:pPr>
        <w:ind w:left="520" w:firstLine="503"/>
        <w:spacing w:after="0" w:line="235" w:lineRule="auto"/>
        <w:tabs>
          <w:tab w:leader="none" w:pos="152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the Excess Concentration Amount, in any clause of the definition thereof, Ineligible Receivables shall be deemed to have a Receivable Balance equal to zero.</w:t>
      </w:r>
    </w:p>
    <w:p>
      <w:pPr>
        <w:spacing w:after="0" w:line="127" w:lineRule="exact"/>
        <w:rPr>
          <w:rFonts w:ascii="Times New Roman" w:cs="Times New Roman" w:eastAsia="Times New Roman" w:hAnsi="Times New Roman"/>
          <w:sz w:val="16"/>
          <w:szCs w:val="16"/>
          <w:color w:val="auto"/>
        </w:rPr>
      </w:pPr>
    </w:p>
    <w:p>
      <w:pPr>
        <w:ind w:left="520" w:firstLine="503"/>
        <w:spacing w:after="0" w:line="283" w:lineRule="auto"/>
        <w:tabs>
          <w:tab w:leader="none" w:pos="153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to the contrary, all monetary calculations under this Agreement shall be in Dollars. For purposes of this Agreement, calculations with respect to all amounts received or required to be paid in a currency other than Dollars, British Pounds or Euros shall be valued at zero.</w:t>
      </w:r>
    </w:p>
    <w:p>
      <w:pPr>
        <w:spacing w:after="0" w:line="97" w:lineRule="exact"/>
        <w:rPr>
          <w:rFonts w:ascii="Times New Roman" w:cs="Times New Roman" w:eastAsia="Times New Roman" w:hAnsi="Times New Roman"/>
          <w:sz w:val="14"/>
          <w:szCs w:val="14"/>
          <w:color w:val="auto"/>
        </w:rPr>
      </w:pPr>
    </w:p>
    <w:p>
      <w:pPr>
        <w:ind w:left="520" w:firstLine="503"/>
        <w:spacing w:after="0" w:line="235" w:lineRule="auto"/>
        <w:tabs>
          <w:tab w:leader="none" w:pos="152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in this Agreement to the Borrower’s “purchase” or “acquisition” of an Eligible Receivable include references to the Borrower’s acquisition of such Eligible Receivable by way of a sale from the Seller.</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434.04 Divisions. </w:t>
      </w:r>
      <w:r>
        <w:rPr>
          <w:rFonts w:ascii="Times New Roman" w:cs="Times New Roman" w:eastAsia="Times New Roman" w:hAnsi="Times New Roman"/>
          <w:sz w:val="14"/>
          <w:szCs w:val="14"/>
          <w:color w:val="auto"/>
        </w:rPr>
        <w:t>For all purposes under the Facility Documents, in connection with any division or plan of division under Delaware law (or any comparable event</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w:t>
      </w:r>
    </w:p>
    <w:p>
      <w:pPr>
        <w:spacing w:after="0"/>
        <w:rPr>
          <w:sz w:val="20"/>
          <w:szCs w:val="20"/>
          <w:color w:val="auto"/>
        </w:rPr>
      </w:pPr>
      <w:r>
        <w:rPr>
          <w:rFonts w:ascii="Times New Roman" w:cs="Times New Roman" w:eastAsia="Times New Roman" w:hAnsi="Times New Roman"/>
          <w:sz w:val="16"/>
          <w:szCs w:val="16"/>
          <w:color w:val="auto"/>
        </w:rPr>
        <w:t>organized on the first date of its existence by the holders of its equity interests at such time.</w:t>
      </w:r>
    </w:p>
    <w:p>
      <w:pPr>
        <w:spacing w:after="0" w:line="1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435.</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ADVANCES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435.01 Revolving Credit Facility.</w:t>
      </w:r>
    </w:p>
    <w:p>
      <w:pPr>
        <w:spacing w:after="0" w:line="136" w:lineRule="exact"/>
        <w:rPr>
          <w:sz w:val="20"/>
          <w:szCs w:val="20"/>
          <w:color w:val="auto"/>
        </w:rPr>
      </w:pPr>
    </w:p>
    <w:p>
      <w:pPr>
        <w:jc w:val="both"/>
        <w:ind w:left="520" w:firstLine="503"/>
        <w:spacing w:after="0" w:line="216" w:lineRule="auto"/>
        <w:tabs>
          <w:tab w:leader="none" w:pos="153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terms and subject to the conditions herein set forth, including Article 3, each Lender severally agrees to make loans to the Borrower (each, an “</w:t>
      </w:r>
      <w:r>
        <w:rPr>
          <w:rFonts w:ascii="Times New Roman" w:cs="Times New Roman" w:eastAsia="Times New Roman" w:hAnsi="Times New Roman"/>
          <w:sz w:val="16"/>
          <w:szCs w:val="16"/>
          <w:i w:val="1"/>
          <w:iCs w:val="1"/>
          <w:color w:val="auto"/>
        </w:rPr>
        <w:t>Advance</w:t>
      </w:r>
      <w:r>
        <w:rPr>
          <w:rFonts w:ascii="Times New Roman" w:cs="Times New Roman" w:eastAsia="Times New Roman" w:hAnsi="Times New Roman"/>
          <w:sz w:val="16"/>
          <w:szCs w:val="16"/>
          <w:color w:val="auto"/>
        </w:rPr>
        <w:t xml:space="preserve">”) from time to time on any Business Day during the period from the Closing Date until but excluding the Termination Date,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each case based on and limited to the Percentage applicable to such Lender;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except with respect to the initial Advance hereunder, the aggregate principal amount of any such Advance shall not, by itself or when combined with the principal amounts of all Advances made by the Lenders to the Borrower during the thirty (30) days immediately preceding the proposed Borrowing Date for such Advance exceed the product of (A) thirty percent (30.0%) and (B) the Committed Amount.</w:t>
      </w:r>
    </w:p>
    <w:p>
      <w:pPr>
        <w:sectPr>
          <w:pgSz w:w="11900" w:h="16838" w:orient="portrait"/>
          <w:cols w:equalWidth="0" w:num="1">
            <w:col w:w="11280"/>
          </w:cols>
          <w:pgMar w:left="300" w:top="1128" w:right="319" w:bottom="1440" w:gutter="0" w:footer="0" w:header="0"/>
        </w:sectPr>
      </w:pPr>
    </w:p>
    <w:bookmarkStart w:id="253" w:name="page254"/>
    <w:bookmarkEnd w:id="253"/>
    <w:p>
      <w:pPr>
        <w:jc w:val="both"/>
        <w:ind w:firstLine="503"/>
        <w:spacing w:after="0" w:line="212" w:lineRule="auto"/>
        <w:tabs>
          <w:tab w:leader="none" w:pos="100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Advance shall consist of (i) an advance by the Class A Lenders equal to the product of (x) a fraction, (I) the numerator of which is the Class A Maximum Available Amount on such date and (II) the denominator of which is the Maximum Available Amount on such date and (y) the aggregate principal amount of the requested Advance and (ii) an advance by the Class B Lenders equal to the product of (x) a fraction, (I) the numerator of which is the Class B Maximum Available Amount on such date and (II) the denominator of which is the Maximum Available Amount on such date and (y) the aggregate principal amount of the requested Advance. Each Class A Advance shall be funded ratably by each Class A Lender in accordance with its respective Class A Percentage. Each Class B Advance shall be funded ratably by each Class B Lender in accordance with its respective Class B Percentage.</w:t>
      </w:r>
    </w:p>
    <w:p>
      <w:pPr>
        <w:spacing w:after="0" w:line="128" w:lineRule="exact"/>
        <w:rPr>
          <w:rFonts w:ascii="Times New Roman" w:cs="Times New Roman" w:eastAsia="Times New Roman" w:hAnsi="Times New Roman"/>
          <w:sz w:val="16"/>
          <w:szCs w:val="16"/>
          <w:color w:val="auto"/>
        </w:rPr>
      </w:pPr>
    </w:p>
    <w:p>
      <w:pPr>
        <w:jc w:val="both"/>
        <w:ind w:firstLine="503"/>
        <w:spacing w:after="0" w:line="218" w:lineRule="auto"/>
        <w:tabs>
          <w:tab w:leader="none" w:pos="101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w:t>
      </w:r>
      <w:r>
        <w:rPr>
          <w:rFonts w:ascii="Times New Roman" w:cs="Times New Roman" w:eastAsia="Times New Roman" w:hAnsi="Times New Roman"/>
          <w:sz w:val="16"/>
          <w:szCs w:val="16"/>
          <w:u w:val="single" w:color="auto"/>
          <w:color w:val="auto"/>
        </w:rPr>
        <w:t>Section 2.01(b)</w:t>
      </w:r>
      <w:r>
        <w:rPr>
          <w:rFonts w:ascii="Times New Roman" w:cs="Times New Roman" w:eastAsia="Times New Roman" w:hAnsi="Times New Roman"/>
          <w:sz w:val="16"/>
          <w:szCs w:val="16"/>
          <w:color w:val="auto"/>
        </w:rPr>
        <w:t xml:space="preserve">, no Class A Lender shall have any obligation to make any Class A Advance or portion thereof if it would cause the Class A Aggregate Loan Principal Balance to exceed the Class A Maximum Available Amount as then in effect. Notwithstanding the foregoing </w:t>
      </w:r>
      <w:r>
        <w:rPr>
          <w:rFonts w:ascii="Times New Roman" w:cs="Times New Roman" w:eastAsia="Times New Roman" w:hAnsi="Times New Roman"/>
          <w:sz w:val="16"/>
          <w:szCs w:val="16"/>
          <w:u w:val="single" w:color="auto"/>
          <w:color w:val="auto"/>
        </w:rPr>
        <w:t>Section 2.01(b)</w:t>
      </w:r>
      <w:r>
        <w:rPr>
          <w:rFonts w:ascii="Times New Roman" w:cs="Times New Roman" w:eastAsia="Times New Roman" w:hAnsi="Times New Roman"/>
          <w:sz w:val="16"/>
          <w:szCs w:val="16"/>
          <w:color w:val="auto"/>
        </w:rPr>
        <w:t>, no Class B Lender shall have any obligation to make any Class B Advance or portion thereof if it would cause the Class B Aggregate Loan Principal Balance to exceed the Class B Maximum Available Amount as then in effect.</w:t>
      </w:r>
    </w:p>
    <w:p>
      <w:pPr>
        <w:spacing w:after="0" w:line="127" w:lineRule="exact"/>
        <w:rPr>
          <w:rFonts w:ascii="Times New Roman" w:cs="Times New Roman" w:eastAsia="Times New Roman" w:hAnsi="Times New Roman"/>
          <w:sz w:val="16"/>
          <w:szCs w:val="16"/>
          <w:color w:val="auto"/>
        </w:rPr>
      </w:pPr>
    </w:p>
    <w:p>
      <w:pPr>
        <w:jc w:val="both"/>
        <w:ind w:firstLine="503"/>
        <w:spacing w:after="0" w:line="221" w:lineRule="auto"/>
        <w:tabs>
          <w:tab w:leader="none" w:pos="100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Immediately after giving effect to any Advances pursuant to this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(i) the Class A Aggregate Loan Principal Balance shall not exceed the Class A Committed Amount, (ii) the Class B Aggregate Loan Principal Balance shall not exceed the Class B Committed Amount and (iii) the Aggregate Loan Principal Balance shall not exceed the Committed Amount.</w:t>
      </w:r>
    </w:p>
    <w:p>
      <w:pPr>
        <w:spacing w:after="0" w:line="126" w:lineRule="exact"/>
        <w:rPr>
          <w:rFonts w:ascii="Times New Roman" w:cs="Times New Roman" w:eastAsia="Times New Roman" w:hAnsi="Times New Roman"/>
          <w:sz w:val="16"/>
          <w:szCs w:val="16"/>
          <w:color w:val="auto"/>
        </w:rPr>
      </w:pPr>
    </w:p>
    <w:p>
      <w:pPr>
        <w:ind w:firstLine="503"/>
        <w:spacing w:after="0" w:line="286" w:lineRule="auto"/>
        <w:tabs>
          <w:tab w:leader="none" w:pos="101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borrowing under this Section 2.01 of an Advance on any single day is referred to herein as a “</w:t>
      </w:r>
      <w:r>
        <w:rPr>
          <w:rFonts w:ascii="Times New Roman" w:cs="Times New Roman" w:eastAsia="Times New Roman" w:hAnsi="Times New Roman"/>
          <w:sz w:val="14"/>
          <w:szCs w:val="14"/>
          <w:i w:val="1"/>
          <w:iCs w:val="1"/>
          <w:color w:val="auto"/>
        </w:rPr>
        <w:t>Borrowing</w:t>
      </w:r>
      <w:r>
        <w:rPr>
          <w:rFonts w:ascii="Times New Roman" w:cs="Times New Roman" w:eastAsia="Times New Roman" w:hAnsi="Times New Roman"/>
          <w:sz w:val="14"/>
          <w:szCs w:val="14"/>
          <w:color w:val="auto"/>
        </w:rPr>
        <w:t>.” Within such limits and subject to the other terms and conditions of this Agreement, the Borrower may borrow (and re-borrow) Advances under this Section 2.01 and prepay Advances under Section 2.05.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435.02 Making of the Advances.</w:t>
      </w:r>
    </w:p>
    <w:p>
      <w:pPr>
        <w:spacing w:after="0" w:line="147" w:lineRule="exact"/>
        <w:rPr>
          <w:sz w:val="20"/>
          <w:szCs w:val="20"/>
          <w:color w:val="auto"/>
        </w:rPr>
      </w:pPr>
    </w:p>
    <w:p>
      <w:pPr>
        <w:jc w:val="both"/>
        <w:ind w:firstLine="503"/>
        <w:spacing w:after="0"/>
        <w:tabs>
          <w:tab w:leader="none" w:pos="1011"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of Section 2.01, if the Borrower desires to request a Borrowing under this Agreement, the Borrower shall give the Administrative Agent and the Class B Representative a written notice (each, a “</w:t>
      </w:r>
      <w:r>
        <w:rPr>
          <w:rFonts w:ascii="Times New Roman" w:cs="Times New Roman" w:eastAsia="Times New Roman" w:hAnsi="Times New Roman"/>
          <w:sz w:val="14"/>
          <w:szCs w:val="14"/>
          <w:i w:val="1"/>
          <w:iCs w:val="1"/>
          <w:color w:val="auto"/>
        </w:rPr>
        <w:t>Notice of Borrowing</w:t>
      </w:r>
      <w:r>
        <w:rPr>
          <w:rFonts w:ascii="Times New Roman" w:cs="Times New Roman" w:eastAsia="Times New Roman" w:hAnsi="Times New Roman"/>
          <w:sz w:val="14"/>
          <w:szCs w:val="14"/>
          <w:color w:val="auto"/>
        </w:rPr>
        <w:t xml:space="preserve">”), together with the allocation of such amount among the Lenders of each Class (which shall be proportional between the Class A Lenders and the Class B Lenders as described in the first sentence of Section 2.01(b), and each Class, based on the respective Class A Percentages or Class B Percentages, as applicable, of the Lenders, as described in the second sentence of Section 2.01(b)), for such Borrowing (which notice shall be irrevocable and effective upon receipt) not later than 11:00 a.m. Eastern Time at least one (1) Business Day prior to the day of the requested Borrowing. A Notice of Borrowing received after 11:00 a.m. Eastern Time shall be deemed received on the following Business Day. Promptly following receipt of a Notice of Borrowing in accordance with this Section 2.02, the Administrative Agent shall advise each applicable Lender of the details thereof and of the amounts of such Lender’s Advance requested to be made as part of the requested Borrowing. Each Notice of Borrowing shall be substantially in the form of Exhibit A hereto, dated the date the request for the related Borrowing is being made, signed by a Responsible Officer of the Borrower, shall attach a Borrowing Base Certificate and shall otherwise be appropriately completed;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Borrowing Base Certificate may be provided no later than 3:00 p.m. Eastern Time on the Business Day prior to the day of the requested Borrowing. If such Borrowing Base Certificate is received after 3:00 p.m. Eastern Time on the Business Day prior to the day of the requested Borrowing, the related Notice of Borrowing shall be deemed received on the following Business Day. The proposed Borrowing Date specified in each Notice of Borrowing shall be a Business Day falling prior to the Termination Date, and the amount of the Borrowing requested in such Notice of Borrowing (the “</w:t>
      </w:r>
      <w:r>
        <w:rPr>
          <w:rFonts w:ascii="Times New Roman" w:cs="Times New Roman" w:eastAsia="Times New Roman" w:hAnsi="Times New Roman"/>
          <w:sz w:val="14"/>
          <w:szCs w:val="14"/>
          <w:i w:val="1"/>
          <w:iCs w:val="1"/>
          <w:color w:val="auto"/>
        </w:rPr>
        <w:t>Requested Amount</w:t>
      </w:r>
      <w:r>
        <w:rPr>
          <w:rFonts w:ascii="Times New Roman" w:cs="Times New Roman" w:eastAsia="Times New Roman" w:hAnsi="Times New Roman"/>
          <w:sz w:val="14"/>
          <w:szCs w:val="14"/>
          <w:color w:val="auto"/>
        </w:rPr>
        <w:t>”) shall be equal to at least $500,000 (or, less, if agreed to by the Administrative Agent and the Lenders in their sole and absolute discretion). Unless otherwise permitted by the Administrative Agent and each of the Lenders in their absolute discretion, there shall be no more than two (2) Borrowing Dates per calendar week.</w:t>
      </w:r>
    </w:p>
    <w:p>
      <w:pPr>
        <w:sectPr>
          <w:pgSz w:w="11900" w:h="16838" w:orient="portrait"/>
          <w:cols w:equalWidth="0" w:num="1">
            <w:col w:w="10760"/>
          </w:cols>
          <w:pgMar w:left="820" w:top="1129" w:right="319" w:bottom="1440" w:gutter="0" w:footer="0" w:header="0"/>
        </w:sectPr>
      </w:pPr>
    </w:p>
    <w:bookmarkStart w:id="254" w:name="page255"/>
    <w:bookmarkEnd w:id="254"/>
    <w:p>
      <w:pPr>
        <w:jc w:val="both"/>
        <w:ind w:left="520" w:firstLine="503"/>
        <w:spacing w:after="0" w:line="212" w:lineRule="auto"/>
        <w:tabs>
          <w:tab w:leader="none" w:pos="152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Funding by Lenders</w:t>
      </w:r>
      <w:r>
        <w:rPr>
          <w:rFonts w:ascii="Times New Roman" w:cs="Times New Roman" w:eastAsia="Times New Roman" w:hAnsi="Times New Roman"/>
          <w:sz w:val="16"/>
          <w:szCs w:val="16"/>
          <w:color w:val="auto"/>
        </w:rPr>
        <w:t>. Subject to the terms and conditions herein, each Class A Lender providing a Class A Advance shall make its Class A Percentage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Requested Amount on each Borrowing Date and each Class B Lender providing a Class B Advance shall make its Class B Percentage of the applicable Requested Amount on each Borrowing Date (x) by wire transfer of immediately available funds by 12:00 p.m. on such Borrowing Date to the Administrative Agent pursuant to wiring instructions provided by the Administrative Agent and the Administrative Agent will hold and pay such funds to the Borrower by wire transfer of immediately available funds by 1:00 p.m. on such Borrowing Date to the Funding Account, on behalf of the Lenders or (y) if requested in writing (email is acceptable) by the Administrative Agent, by wire transfer of immediately available funds by 1:00 p.m. on such Borrowing Date directly to the Funding Account pursuant to wiring instructions provided by the Administrative Agent.</w:t>
      </w:r>
    </w:p>
    <w:p>
      <w:pPr>
        <w:spacing w:after="0" w:line="124" w:lineRule="exact"/>
        <w:rPr>
          <w:rFonts w:ascii="Times New Roman" w:cs="Times New Roman" w:eastAsia="Times New Roman" w:hAnsi="Times New Roman"/>
          <w:sz w:val="16"/>
          <w:szCs w:val="16"/>
          <w:color w:val="auto"/>
        </w:rPr>
      </w:pPr>
    </w:p>
    <w:p>
      <w:pPr>
        <w:jc w:val="both"/>
        <w:ind w:left="520" w:firstLine="503"/>
        <w:spacing w:after="0" w:line="222" w:lineRule="auto"/>
        <w:tabs>
          <w:tab w:leader="none" w:pos="153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Presumption by the Administrative Agent</w:t>
      </w:r>
      <w:r>
        <w:rPr>
          <w:rFonts w:ascii="Times New Roman" w:cs="Times New Roman" w:eastAsia="Times New Roman" w:hAnsi="Times New Roman"/>
          <w:sz w:val="16"/>
          <w:szCs w:val="16"/>
          <w:color w:val="auto"/>
        </w:rPr>
        <w:t>. The Administrative Agent may not assume that a Lender has made or will make its Percentage of any applicable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Requested Amount and shall not be obligated to make available to the Borrower a corresponding amount unless the Administrative Agent has received from all Lenders the funds corresponding to their relevant Percentages with respect to the applicable Requested Amount.</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435.03 Evidence of Indebtedness.</w:t>
      </w:r>
    </w:p>
    <w:p>
      <w:pPr>
        <w:spacing w:after="0" w:line="134" w:lineRule="exact"/>
        <w:rPr>
          <w:sz w:val="20"/>
          <w:szCs w:val="20"/>
          <w:color w:val="auto"/>
        </w:rPr>
      </w:pPr>
    </w:p>
    <w:p>
      <w:pPr>
        <w:jc w:val="both"/>
        <w:ind w:left="520" w:firstLine="503"/>
        <w:spacing w:after="0" w:line="218" w:lineRule="auto"/>
        <w:tabs>
          <w:tab w:leader="none" w:pos="153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Records by Lenders</w:t>
      </w:r>
      <w:r>
        <w:rPr>
          <w:rFonts w:ascii="Times New Roman" w:cs="Times New Roman" w:eastAsia="Times New Roman" w:hAnsi="Times New Roman"/>
          <w:sz w:val="16"/>
          <w:szCs w:val="16"/>
          <w:color w:val="auto"/>
        </w:rPr>
        <w:t>. Each Lender shall maintain in accordance with its usual practice an account or accounts evidencing the indebtedness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Borrower to it and resulting from the Advances made by such Lender to the Borrower, from time to time, including the amounts of principal and interest thereon and paid to it, from time to time hereunder;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case of a conflict between the records of the Administrative Agent and those of such Lender, the records of the Administrative Agent shall prevail absent demonstrable error.</w:t>
      </w:r>
    </w:p>
    <w:p>
      <w:pPr>
        <w:spacing w:after="0" w:line="127" w:lineRule="exact"/>
        <w:rPr>
          <w:rFonts w:ascii="Times New Roman" w:cs="Times New Roman" w:eastAsia="Times New Roman" w:hAnsi="Times New Roman"/>
          <w:sz w:val="16"/>
          <w:szCs w:val="16"/>
          <w:color w:val="auto"/>
        </w:rPr>
      </w:pPr>
    </w:p>
    <w:p>
      <w:pPr>
        <w:jc w:val="both"/>
        <w:ind w:left="520" w:firstLine="503"/>
        <w:spacing w:after="0" w:line="212" w:lineRule="auto"/>
        <w:tabs>
          <w:tab w:leader="none" w:pos="15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Records by Administrative Agent</w:t>
      </w:r>
      <w:r>
        <w:rPr>
          <w:rFonts w:ascii="Times New Roman" w:cs="Times New Roman" w:eastAsia="Times New Roman" w:hAnsi="Times New Roman"/>
          <w:sz w:val="16"/>
          <w:szCs w:val="16"/>
          <w:color w:val="auto"/>
        </w:rPr>
        <w:t>. The Administrative Agent shall maintain records in which it shall record (i) the amount of each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 Notwithstanding anything to the contrary herein, the Administrative Agent shall be responsible for calculating and confirming any and all amounts due, interest, compliance with financial covenants, eligibility criteria and each other trigger or rate hereunder and under the other Facility Documents and each such calculation and confirmation shall be conclusive and binding for all purposes, absent demonstrable error.</w:t>
      </w:r>
    </w:p>
    <w:p>
      <w:pPr>
        <w:spacing w:after="0" w:line="128"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3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 of Entries</w:t>
      </w:r>
      <w:r>
        <w:rPr>
          <w:rFonts w:ascii="Times New Roman" w:cs="Times New Roman" w:eastAsia="Times New Roman" w:hAnsi="Times New Roman"/>
          <w:sz w:val="16"/>
          <w:szCs w:val="16"/>
          <w:color w:val="auto"/>
        </w:rPr>
        <w:t>. The entries made in the records maintained pursuant to paragraph (a) or (b) of this Section shall be prima facie evidence, absent obvious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error, of the existence and amounts of the obligations recorded therein;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failure of any Lender or the Administrative Agent to maintain such records or any error therein shall not in any manner affect the obligation of the Borrower to repay the Advances and other Obligations hereunder in accordance with the terms of this Agreement.</w:t>
      </w:r>
    </w:p>
    <w:p>
      <w:pPr>
        <w:spacing w:after="0" w:line="117"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i w:val="1"/>
          <w:iCs w:val="1"/>
          <w:color w:val="auto"/>
        </w:rPr>
        <w:t>Section 435.04 Payment of Principal, Interest and Certain Fees. The Borrower shall pay principal and Interest on the Advances and shall pay the other Obligations set forth below as follows:</w:t>
      </w:r>
    </w:p>
    <w:p>
      <w:pPr>
        <w:spacing w:after="0" w:line="127" w:lineRule="exact"/>
        <w:rPr>
          <w:sz w:val="20"/>
          <w:szCs w:val="20"/>
          <w:color w:val="auto"/>
        </w:rPr>
      </w:pPr>
    </w:p>
    <w:p>
      <w:pPr>
        <w:ind w:left="520" w:firstLine="503"/>
        <w:spacing w:after="0" w:line="229" w:lineRule="auto"/>
        <w:tabs>
          <w:tab w:leader="none" w:pos="153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outstanding principal amount of each (i) Class A Advance, together with all accrued and unpaid Class A Interest thereon and (ii) Class B Advance, together with all accrued and unpaid Class B Interest, in each case, shall be due and payable on the Final Maturity Date, together with all other Obligations.</w:t>
      </w:r>
    </w:p>
    <w:p>
      <w:pPr>
        <w:spacing w:after="0" w:line="126" w:lineRule="exact"/>
        <w:rPr>
          <w:rFonts w:ascii="Times New Roman" w:cs="Times New Roman" w:eastAsia="Times New Roman" w:hAnsi="Times New Roman"/>
          <w:sz w:val="16"/>
          <w:szCs w:val="16"/>
          <w:color w:val="auto"/>
        </w:rPr>
      </w:pPr>
    </w:p>
    <w:p>
      <w:pPr>
        <w:ind w:left="520" w:firstLine="503"/>
        <w:spacing w:after="0" w:line="235" w:lineRule="auto"/>
        <w:tabs>
          <w:tab w:leader="none" w:pos="152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Interest shall accrue on the unpaid principal amount of each Class A Advance from the date of such Class A Advance until such principal amount is paid in full. Class B Interest shall accrue on the unpaid principal amount of each Class B Advance from the date of</w:t>
      </w:r>
    </w:p>
    <w:p>
      <w:pPr>
        <w:sectPr>
          <w:pgSz w:w="11900" w:h="16838" w:orient="portrait"/>
          <w:cols w:equalWidth="0" w:num="1">
            <w:col w:w="11280"/>
          </w:cols>
          <w:pgMar w:left="300" w:top="1127" w:right="319" w:bottom="1440" w:gutter="0" w:footer="0" w:header="0"/>
        </w:sectPr>
      </w:pPr>
    </w:p>
    <w:bookmarkStart w:id="255" w:name="page256"/>
    <w:bookmarkEnd w:id="255"/>
    <w:p>
      <w:pPr>
        <w:ind w:left="6"/>
        <w:spacing w:after="0"/>
        <w:rPr>
          <w:sz w:val="20"/>
          <w:szCs w:val="20"/>
          <w:color w:val="auto"/>
        </w:rPr>
      </w:pPr>
      <w:r>
        <w:rPr>
          <w:rFonts w:ascii="Times New Roman" w:cs="Times New Roman" w:eastAsia="Times New Roman" w:hAnsi="Times New Roman"/>
          <w:sz w:val="14"/>
          <w:szCs w:val="14"/>
          <w:color w:val="auto"/>
        </w:rPr>
        <w:t>such Class B Advance until such principal amount is paid in full. Any Class A Interest or Class B Interest accruing at the Base Rate will be computed based on a year of 365</w:t>
      </w:r>
    </w:p>
    <w:p>
      <w:pPr>
        <w:spacing w:after="0" w:line="16" w:lineRule="exact"/>
        <w:rPr>
          <w:sz w:val="20"/>
          <w:szCs w:val="20"/>
          <w:color w:val="auto"/>
        </w:rPr>
      </w:pPr>
    </w:p>
    <w:p>
      <w:pPr>
        <w:ind w:left="6"/>
        <w:spacing w:after="0" w:line="217" w:lineRule="auto"/>
        <w:rPr>
          <w:sz w:val="20"/>
          <w:szCs w:val="20"/>
          <w:color w:val="auto"/>
        </w:rPr>
      </w:pPr>
      <w:r>
        <w:rPr>
          <w:rFonts w:ascii="Times New Roman" w:cs="Times New Roman" w:eastAsia="Times New Roman" w:hAnsi="Times New Roman"/>
          <w:sz w:val="16"/>
          <w:szCs w:val="16"/>
          <w:color w:val="auto"/>
        </w:rPr>
        <w:t>days or 366 days, as applicable, and the actual days elapsed. Any Class A Interest or Class B Interest accruing by reference to the SOFR Rate will be computed based on a year of 360 days and the actual days elapsed.</w:t>
      </w:r>
    </w:p>
    <w:p>
      <w:pPr>
        <w:spacing w:after="0" w:line="127" w:lineRule="exact"/>
        <w:rPr>
          <w:sz w:val="20"/>
          <w:szCs w:val="20"/>
          <w:color w:val="auto"/>
        </w:rPr>
      </w:pPr>
    </w:p>
    <w:p>
      <w:pPr>
        <w:ind w:left="1006" w:hanging="497"/>
        <w:spacing w:after="0"/>
        <w:tabs>
          <w:tab w:leader="none" w:pos="1006"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Class A Interest on each Class A Advance and accrued Class B Interest on each Class B Advance shall, in each case, be due and payable in arrears</w:t>
      </w:r>
    </w:p>
    <w:p>
      <w:pPr>
        <w:spacing w:after="0" w:line="16" w:lineRule="exact"/>
        <w:rPr>
          <w:rFonts w:ascii="Times New Roman" w:cs="Times New Roman" w:eastAsia="Times New Roman" w:hAnsi="Times New Roman"/>
          <w:sz w:val="14"/>
          <w:szCs w:val="14"/>
          <w:color w:val="auto"/>
        </w:rPr>
      </w:pPr>
    </w:p>
    <w:p>
      <w:pPr>
        <w:jc w:val="both"/>
        <w:ind w:left="6" w:hanging="6"/>
        <w:spacing w:after="0" w:line="208" w:lineRule="auto"/>
        <w:tabs>
          <w:tab w:leader="none" w:pos="23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each Payment Date, and (y) in connection with any prepayment in full of the Advances pursuant to Section 2.05(a);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Class A Advances or the Class B Advances outstanding, accrued Class A Interest and Class B Interest, as applicable, on such amount to but excluding the date of prepayment shall be payable following such prepayment on the applicable Payment Date in accordance with Section 9.01(b) for the Collection Period in which such prepayment occurred.</w:t>
      </w:r>
    </w:p>
    <w:p>
      <w:pPr>
        <w:spacing w:after="0" w:line="129" w:lineRule="exact"/>
        <w:rPr>
          <w:rFonts w:ascii="Times New Roman" w:cs="Times New Roman" w:eastAsia="Times New Roman" w:hAnsi="Times New Roman"/>
          <w:sz w:val="16"/>
          <w:szCs w:val="16"/>
          <w:color w:val="auto"/>
        </w:rPr>
      </w:pPr>
    </w:p>
    <w:p>
      <w:pPr>
        <w:jc w:val="both"/>
        <w:ind w:left="6" w:firstLine="503"/>
        <w:spacing w:after="0" w:line="241" w:lineRule="auto"/>
        <w:tabs>
          <w:tab w:leader="none" w:pos="1015"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clause (e) below, the obligation of the Borrower to pay (i) the Class A Obligations, including, but not limited to, the obligation of the Borrower to pay the Class A Lenders the outstanding principal amount of the Class A Advances, accrued Class A Interest thereon, to pay the applicable Class A Lenders the Class A Prepayment Premiums, Class A Exit Fees, Class A Minimum Utilization Fees and Class A Unused Fees, and (ii) the Class B Obligations, including, but not limited to, the obligation of the Borrower to pay the Class B Lenders the outstanding principal amount of the Class B Advances, accrued Class B Interest thereon, to pay the applicable Class B Lenders the Class B Prepayment Premiums, Class B Minimum Utilization Fees, and Class B Unused Fees and to pay any other fees as set forth hereunder and in the Class A Fee Letter or the Class B Fee Letter or other Facility Documents, shall be absolute, unconditional and irrevocable, and shall be paid strictly in accordance with the terms hereof (including Section 2.14 and Article 9) and thereof, under any and all circumstances and irrespective of any setoff, counterclaim or defense to payment which the Borrower or any other Person may have or have had against any Secured Party or any other Person (other than a defense that payment was made).</w:t>
      </w:r>
    </w:p>
    <w:p>
      <w:pPr>
        <w:spacing w:after="0" w:line="117" w:lineRule="exact"/>
        <w:rPr>
          <w:rFonts w:ascii="Times New Roman" w:cs="Times New Roman" w:eastAsia="Times New Roman" w:hAnsi="Times New Roman"/>
          <w:sz w:val="14"/>
          <w:szCs w:val="14"/>
          <w:color w:val="auto"/>
        </w:rPr>
      </w:pPr>
    </w:p>
    <w:p>
      <w:pPr>
        <w:jc w:val="both"/>
        <w:ind w:left="6" w:firstLine="503"/>
        <w:spacing w:after="0" w:line="211" w:lineRule="auto"/>
        <w:tabs>
          <w:tab w:leader="none" w:pos="1017"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condition to the payment of Class A Interest on any Class A Advance, Class B Interest on any Class B Advance, and principal of any Advance, any Class A Prepayment Premium, Class B Prepayment Premium, Class A Exit Fee, any Class A Minimum Utilization Fees, any Class B Minimum Utilization Fees, any Class A Unused Fees, any Class B Unused Fees and any other amounts due pursuant to the Facility Documents without the imposition of withholding tax, the Borrower or the Administrative Agent may require certification acceptable to it to enable the Borrower and the Administrative Agent to determine their duties and liabilities with respect to any taxes or other charges that they may be required to deduct or withhold from payments in respect of such Advance under any present or future law or regulation of the United States of America and any other applicable jurisdiction, or any present or future law or regulation of any political subdivision thereof or taxing authority therein or to comply with any reporting or other requirements under any such law or regulation.</w:t>
      </w:r>
    </w:p>
    <w:p>
      <w:pPr>
        <w:spacing w:after="0" w:line="130" w:lineRule="exact"/>
        <w:rPr>
          <w:rFonts w:ascii="Times New Roman" w:cs="Times New Roman" w:eastAsia="Times New Roman" w:hAnsi="Times New Roman"/>
          <w:sz w:val="16"/>
          <w:szCs w:val="16"/>
          <w:color w:val="auto"/>
        </w:rPr>
      </w:pPr>
    </w:p>
    <w:p>
      <w:pPr>
        <w:jc w:val="both"/>
        <w:ind w:left="6" w:firstLine="503"/>
        <w:spacing w:after="0" w:line="221" w:lineRule="auto"/>
        <w:tabs>
          <w:tab w:leader="none" w:pos="102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Unused Fees shall accrue from the Closing Date until the Termination Date and shall be payable by the Borrower to the Class A Lenders in arrears on each Payment Date. Class B Unused Fees shall accrue from the Closing Date until the Termination Date and shall be payable by the Borrower to the Class B Lenders in arrears on each Payment Date.</w:t>
      </w:r>
    </w:p>
    <w:p>
      <w:pPr>
        <w:spacing w:after="0" w:line="128" w:lineRule="exact"/>
        <w:rPr>
          <w:rFonts w:ascii="Times New Roman" w:cs="Times New Roman" w:eastAsia="Times New Roman" w:hAnsi="Times New Roman"/>
          <w:sz w:val="16"/>
          <w:szCs w:val="16"/>
          <w:color w:val="auto"/>
        </w:rPr>
      </w:pPr>
    </w:p>
    <w:p>
      <w:pPr>
        <w:jc w:val="both"/>
        <w:ind w:left="6" w:firstLine="503"/>
        <w:spacing w:after="0" w:line="218" w:lineRule="auto"/>
        <w:tabs>
          <w:tab w:leader="none" w:pos="1015"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payable by the Borrower, if, with respect to (i) any Class A Minimum Utilization Period, the average daily Class A Aggregate Loan Principal Balance during such Class A Minimum Utilization Period is less than the average daily Class A Minimum Utilization Amount, then on the first Payment Date occurring after such Class A Minimum Utilization Period, the Borrower will pay to the Administrative Agent, for the account of each Class A Lender, an amount equal to such Class A Lender’s Class A Percentage of the Class A Minimum Utilization Fees for such Class A Minimum Utilization Period and (ii) any</w:t>
      </w:r>
    </w:p>
    <w:p>
      <w:pPr>
        <w:sectPr>
          <w:pgSz w:w="11900" w:h="16838" w:orient="portrait"/>
          <w:cols w:equalWidth="0" w:num="1">
            <w:col w:w="10766"/>
          </w:cols>
          <w:pgMar w:left="814" w:top="1129" w:right="3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color w:val="auto"/>
        </w:rPr>
        <w:t>Class B Minimum Utilization Period, the average daily Class B Aggregate Loan Principal Balance during such Class B Minimum Utilization Period is less than the average</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daily Class B Minimum Utilization Amount, then on the first Payment Date occurring after such Class B Minimum Utilization Period, the Borrower will pay to the Administrative Agent, for the account of each Class B Lender, an amount equal to such Class B Lender’s Class B Percentage of the Class B Minimum Utilization Fees for</w:t>
      </w:r>
    </w:p>
    <w:p>
      <w:pPr>
        <w:spacing w:after="0"/>
        <w:rPr>
          <w:sz w:val="20"/>
          <w:szCs w:val="20"/>
          <w:color w:val="auto"/>
        </w:rPr>
      </w:pPr>
      <w:r>
        <w:rPr>
          <w:rFonts w:ascii="Times New Roman" w:cs="Times New Roman" w:eastAsia="Times New Roman" w:hAnsi="Times New Roman"/>
          <w:sz w:val="16"/>
          <w:szCs w:val="16"/>
          <w:color w:val="auto"/>
        </w:rPr>
        <w:t>such Class B Minimum Utilization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435.05 Prepayment of Advances.</w:t>
      </w:r>
    </w:p>
    <w:p>
      <w:pPr>
        <w:spacing w:after="0" w:line="134" w:lineRule="exact"/>
        <w:rPr>
          <w:sz w:val="20"/>
          <w:szCs w:val="20"/>
          <w:color w:val="auto"/>
        </w:rPr>
      </w:pPr>
    </w:p>
    <w:p>
      <w:pPr>
        <w:ind w:left="1000" w:hanging="497"/>
        <w:spacing w:after="0"/>
        <w:tabs>
          <w:tab w:leader="none" w:pos="10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Optional Prepayments</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500" w:firstLine="513"/>
        <w:spacing w:after="0" w:line="212" w:lineRule="auto"/>
        <w:tabs>
          <w:tab w:leader="none" w:pos="151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may, from time to time on any Business Day, without premium or penalty, voluntarily prepay any outstanding Advances in whole or in part, together with all amounts due pursuant to Sections 2.04(c) and 2.10;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Borrower shall have delivered to the Administrative Agent and the Class B Representative written notice of such prepayment (such notice, a “</w:t>
      </w:r>
      <w:r>
        <w:rPr>
          <w:rFonts w:ascii="Times New Roman" w:cs="Times New Roman" w:eastAsia="Times New Roman" w:hAnsi="Times New Roman"/>
          <w:sz w:val="16"/>
          <w:szCs w:val="16"/>
          <w:i w:val="1"/>
          <w:iCs w:val="1"/>
          <w:color w:val="auto"/>
        </w:rPr>
        <w:t>Notice of Prepayment</w:t>
      </w:r>
      <w:r>
        <w:rPr>
          <w:rFonts w:ascii="Times New Roman" w:cs="Times New Roman" w:eastAsia="Times New Roman" w:hAnsi="Times New Roman"/>
          <w:sz w:val="16"/>
          <w:szCs w:val="16"/>
          <w:color w:val="auto"/>
        </w:rPr>
        <w:t>”) in the form of Exhibit B hereto by no later than 1:00 p.m. at least two (2) Business Days prior to the day of such prepayment. Any Notice of Prepayment received by the Administrative Agent or the Class B Representative after 1:00 p.m. shall be deemed received on the next Business Day. Upon receipt of such Notice of Prepayment, the Administrative Agent shall promptly, but in any event, no later than 1:00 p.m. at least one (1) Business Day prior to the date of such prepayment, notify each Lender.</w:t>
      </w:r>
    </w:p>
    <w:p>
      <w:pPr>
        <w:spacing w:after="0" w:line="128" w:lineRule="exact"/>
        <w:rPr>
          <w:rFonts w:ascii="Times New Roman" w:cs="Times New Roman" w:eastAsia="Times New Roman" w:hAnsi="Times New Roman"/>
          <w:sz w:val="16"/>
          <w:szCs w:val="16"/>
          <w:color w:val="auto"/>
        </w:rPr>
      </w:pPr>
    </w:p>
    <w:p>
      <w:pPr>
        <w:jc w:val="both"/>
        <w:ind w:left="500" w:firstLine="513"/>
        <w:spacing w:after="0" w:line="207" w:lineRule="auto"/>
        <w:tabs>
          <w:tab w:leader="none" w:pos="151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Section 2.05(a) shall in each case be in a principal amount of at least $250,000 or, if less, the Aggregate Loan Principal Balance. If a Notice of Prepayment is given by the Borrower, the Borrower shall make such prepayment and the payment amount specified in such notice shall be due and payable on the date specified therein. The Borrower shall make the payment in the amount specified in such notice by wire transfer of immediately available funds by 3:00 p.m. on the date of prepayment to the account of the Administrative Agent, which will hold the funds on behalf of the Lenders. To the extent payment was made to the Administrative Agent, the Administrative Agent promptly will make such payment amount specified in such notice available to each Lender in the amount of each Lender’s Class Percentage of the payment amount by wire transfer to such Lender’s account. Any funds for purposes of a voluntary prepayment received by the Administrative Agent after 3:00 p.m. shall be deemed received on the next Business Day. For the avoidance of any doubt, the Borrower may only provide a Notice of Prepayment to prepay Advances that are outstanding on the date such Notice of Prepayment is delivered and may not provide a Notice of Prepayment to prepay any future Advances. Notwithstanding the foregoing, and for the avoidance of doubt, a Notice of Prepayment shall not be required for any prepayment of Advances made on a Payment Date. All prepayments shall be allocated to each Class ratably based on their respective Class Percentages and to the Lenders of each Class ratably based on their respective Class A Percentages and Class B Percentages (except as otherwise set forth herein).</w:t>
      </w:r>
    </w:p>
    <w:p>
      <w:pPr>
        <w:spacing w:after="0" w:line="120" w:lineRule="exact"/>
        <w:rPr>
          <w:rFonts w:ascii="Times New Roman" w:cs="Times New Roman" w:eastAsia="Times New Roman" w:hAnsi="Times New Roman"/>
          <w:sz w:val="16"/>
          <w:szCs w:val="16"/>
          <w:color w:val="auto"/>
        </w:rPr>
      </w:pPr>
    </w:p>
    <w:p>
      <w:pPr>
        <w:ind w:firstLine="503"/>
        <w:spacing w:after="0" w:line="237" w:lineRule="auto"/>
        <w:tabs>
          <w:tab w:leader="none" w:pos="100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Additional Prepayment Provisions</w:t>
      </w:r>
      <w:r>
        <w:rPr>
          <w:rFonts w:ascii="Times New Roman" w:cs="Times New Roman" w:eastAsia="Times New Roman" w:hAnsi="Times New Roman"/>
          <w:sz w:val="16"/>
          <w:szCs w:val="16"/>
          <w:color w:val="auto"/>
        </w:rPr>
        <w:t>. Each optional prepayment pursuant to this Section 2.05(a) shall be subject to Sections 2.04(c) and 2.10 and applied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Advances in accordance with the relevant Lenders’ respective Class Percentages.</w:t>
      </w:r>
    </w:p>
    <w:p>
      <w:pPr>
        <w:spacing w:after="0" w:line="124" w:lineRule="exact"/>
        <w:rPr>
          <w:rFonts w:ascii="Times New Roman" w:cs="Times New Roman" w:eastAsia="Times New Roman" w:hAnsi="Times New Roman"/>
          <w:sz w:val="16"/>
          <w:szCs w:val="16"/>
          <w:color w:val="auto"/>
        </w:rPr>
      </w:pPr>
    </w:p>
    <w:p>
      <w:pPr>
        <w:ind w:firstLine="503"/>
        <w:spacing w:after="0" w:line="230" w:lineRule="auto"/>
        <w:tabs>
          <w:tab w:leader="none" w:pos="101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Interest on Prepaid Advances</w:t>
      </w:r>
      <w:r>
        <w:rPr>
          <w:rFonts w:ascii="Times New Roman" w:cs="Times New Roman" w:eastAsia="Times New Roman" w:hAnsi="Times New Roman"/>
          <w:sz w:val="16"/>
          <w:szCs w:val="16"/>
          <w:color w:val="auto"/>
        </w:rPr>
        <w:t>. Except as set forth in Section 2.04(c), the Borrower shall pay all accrued and unpaid Class A Interest on the Class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Advances and the Class B Interest on the Class B Advances that are prepaid on the date of such prepayment.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435.06 Prepayment Premium; Exit Fee</w:t>
      </w:r>
      <w:r>
        <w:rPr>
          <w:rFonts w:ascii="Times New Roman" w:cs="Times New Roman" w:eastAsia="Times New Roman" w:hAnsi="Times New Roman"/>
          <w:sz w:val="16"/>
          <w:szCs w:val="16"/>
          <w:color w:val="auto"/>
        </w:rPr>
        <w:t>.</w:t>
      </w:r>
    </w:p>
    <w:p>
      <w:pPr>
        <w:sectPr>
          <w:pgSz w:w="11900" w:h="16838" w:orient="portrait"/>
          <w:cols w:equalWidth="0" w:num="1">
            <w:col w:w="10760"/>
          </w:cols>
          <w:pgMar w:left="820" w:top="1129" w:right="319" w:bottom="1440" w:gutter="0" w:footer="0" w:header="0"/>
        </w:sectPr>
      </w:pPr>
    </w:p>
    <w:bookmarkStart w:id="257" w:name="page258"/>
    <w:bookmarkEnd w:id="257"/>
    <w:p>
      <w:pPr>
        <w:jc w:val="both"/>
        <w:ind w:left="520" w:firstLine="503"/>
        <w:spacing w:after="0" w:line="211" w:lineRule="auto"/>
        <w:tabs>
          <w:tab w:leader="none" w:pos="153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may, from time to time upon at least five (5) Business Days’ prior written notice to the Administrative Agent and the Class B Representative, elect to (A) reduce the unused portion of the Committed Amount in whole or in part or (B) terminate the Committed Amount in whole and pay all accrued and unpaid Obligations,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after giving effect to any reduction of the unused portion of the Committed Amount on such date, the aggregate outstanding principal amount of the Advances shall not exceed the Committed Amount. Any partial reduction of the Committed Amount shall be in a minimum amount of $1,000,000 and shall (i) reduce the Class A Committed Amount and the Class B Committed Amount ratably in proportion to such committed amount’s share of the Committed Amount and (ii) ratably as between the aggregate Class A Committed Amount and the aggregate Class B Committed Amount. Once the Committed Amount is reduced, such reduced Committed Amount may not subsequently be reinstated without the consent of each Lender.</w:t>
      </w:r>
    </w:p>
    <w:p>
      <w:pPr>
        <w:spacing w:after="0" w:line="130"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terminates or reduces the Committed Amount in whole or in part pursuant to Section 2.06(a), the Borrower shall pay, to the Administrative</w:t>
      </w:r>
    </w:p>
    <w:p>
      <w:pPr>
        <w:spacing w:after="0" w:line="5"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Agent:</w:t>
      </w:r>
    </w:p>
    <w:p>
      <w:pPr>
        <w:spacing w:after="0" w:line="126" w:lineRule="exact"/>
        <w:rPr>
          <w:rFonts w:ascii="Times New Roman" w:cs="Times New Roman" w:eastAsia="Times New Roman" w:hAnsi="Times New Roman"/>
          <w:sz w:val="14"/>
          <w:szCs w:val="14"/>
          <w:color w:val="auto"/>
        </w:rPr>
      </w:pPr>
    </w:p>
    <w:p>
      <w:pPr>
        <w:jc w:val="both"/>
        <w:ind w:left="1020" w:firstLine="513"/>
        <w:spacing w:after="0" w:line="252" w:lineRule="auto"/>
        <w:tabs>
          <w:tab w:leader="none" w:pos="2037"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benefit and account of the Class A Lenders, in immediately available funds, a non-refundable prepayment fee in connection with such termination or reduction (each a “</w:t>
      </w:r>
      <w:r>
        <w:rPr>
          <w:rFonts w:ascii="Times New Roman" w:cs="Times New Roman" w:eastAsia="Times New Roman" w:hAnsi="Times New Roman"/>
          <w:sz w:val="14"/>
          <w:szCs w:val="14"/>
          <w:i w:val="1"/>
          <w:iCs w:val="1"/>
          <w:color w:val="auto"/>
        </w:rPr>
        <w:t>Class A Prepayment Premium</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i w:val="1"/>
          <w:iCs w:val="1"/>
          <w:color w:val="auto"/>
        </w:rPr>
        <w:t>Class A Prepayment Premiums</w:t>
      </w:r>
      <w:r>
        <w:rPr>
          <w:rFonts w:ascii="Times New Roman" w:cs="Times New Roman" w:eastAsia="Times New Roman" w:hAnsi="Times New Roman"/>
          <w:sz w:val="14"/>
          <w:szCs w:val="14"/>
          <w:color w:val="auto"/>
        </w:rPr>
        <w:t>”), in an amount equal to the product of (x) the Class A Margin, (y) the portion of the Class A Committed Amount being terminated and (z) a fraction (expressed as a percentage) the numerator of which is the number of days from the date of such prepayment to the Scheduled Reinvestment Period Termination Date and the denominator of which is 360; or</w:t>
      </w:r>
    </w:p>
    <w:p>
      <w:pPr>
        <w:spacing w:after="0" w:line="119" w:lineRule="exact"/>
        <w:rPr>
          <w:rFonts w:ascii="Times New Roman" w:cs="Times New Roman" w:eastAsia="Times New Roman" w:hAnsi="Times New Roman"/>
          <w:sz w:val="14"/>
          <w:szCs w:val="14"/>
          <w:color w:val="auto"/>
        </w:rPr>
      </w:pPr>
    </w:p>
    <w:p>
      <w:pPr>
        <w:jc w:val="both"/>
        <w:ind w:left="1020" w:firstLine="513"/>
        <w:spacing w:after="0" w:line="218" w:lineRule="auto"/>
        <w:tabs>
          <w:tab w:leader="none" w:pos="203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benefit and account of the Class B Lenders, in immediately available funds, a non-refundable prepayment fee in connection with such termination or reduction (the “</w:t>
      </w:r>
      <w:r>
        <w:rPr>
          <w:rFonts w:ascii="Times New Roman" w:cs="Times New Roman" w:eastAsia="Times New Roman" w:hAnsi="Times New Roman"/>
          <w:sz w:val="16"/>
          <w:szCs w:val="16"/>
          <w:i w:val="1"/>
          <w:iCs w:val="1"/>
          <w:color w:val="auto"/>
        </w:rPr>
        <w:t>Class B Prepayment Premium”</w:t>
      </w:r>
      <w:r>
        <w:rPr>
          <w:rFonts w:ascii="Times New Roman" w:cs="Times New Roman" w:eastAsia="Times New Roman" w:hAnsi="Times New Roman"/>
          <w:sz w:val="16"/>
          <w:szCs w:val="16"/>
          <w:color w:val="auto"/>
        </w:rPr>
        <w:t>) in an amount equal to the product of (x) the Class B Margin, (y) the portion of the Class B Committed Amount being terminated and (z) a fraction (expressed as a percentage) the numerator of which is the number of days from the date of such prepayment to the Scheduled Reinvestment Period Termination Date and the denominator of which is 360.</w:t>
      </w:r>
    </w:p>
    <w:p>
      <w:pPr>
        <w:spacing w:after="0" w:line="11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pay the Class A Exit Fee in accordance with the terms and provisions of the Class A Fee Letter.</w:t>
      </w:r>
    </w:p>
    <w:p>
      <w:pPr>
        <w:spacing w:after="0" w:line="14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435.07 Maximum Lawful Rate. </w:t>
      </w:r>
      <w:r>
        <w:rPr>
          <w:rFonts w:ascii="Times New Roman" w:cs="Times New Roman" w:eastAsia="Times New Roman" w:hAnsi="Times New Roman"/>
          <w:sz w:val="14"/>
          <w:szCs w:val="14"/>
          <w:color w:val="auto"/>
        </w:rPr>
        <w:t>It is the intention of the parties hereto that neither the Class A Interest on the Class A Advances nor the Class B Interest on the Class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 Advances shall exceed the maximum rate permissible under Applicable Law. Accordingly, anything herein to the contrary notwithstanding, in the event any Class A Interest or</w:t>
      </w:r>
    </w:p>
    <w:p>
      <w:pPr>
        <w:spacing w:after="0" w:line="237" w:lineRule="auto"/>
        <w:rPr>
          <w:sz w:val="20"/>
          <w:szCs w:val="20"/>
          <w:color w:val="auto"/>
        </w:rPr>
      </w:pPr>
      <w:r>
        <w:rPr>
          <w:rFonts w:ascii="Times New Roman" w:cs="Times New Roman" w:eastAsia="Times New Roman" w:hAnsi="Times New Roman"/>
          <w:sz w:val="14"/>
          <w:szCs w:val="14"/>
          <w:color w:val="auto"/>
        </w:rPr>
        <w:t>Class B Interest is charged to, collected from or received from or on behalf of the Borrower by the Class A Lenders or the Class B Lenders, as applicable, pursuant hereto or thereto</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w:t>
      </w:r>
    </w:p>
    <w:p>
      <w:pPr>
        <w:spacing w:after="0"/>
        <w:rPr>
          <w:sz w:val="20"/>
          <w:szCs w:val="20"/>
          <w:color w:val="auto"/>
        </w:rPr>
      </w:pPr>
      <w:r>
        <w:rPr>
          <w:rFonts w:ascii="Times New Roman" w:cs="Times New Roman" w:eastAsia="Times New Roman" w:hAnsi="Times New Roman"/>
          <w:sz w:val="16"/>
          <w:szCs w:val="16"/>
          <w:color w:val="auto"/>
        </w:rPr>
        <w:t>Advances of the Borrower.</w:t>
      </w:r>
    </w:p>
    <w:p>
      <w:pPr>
        <w:spacing w:after="0" w:line="125"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i w:val="1"/>
          <w:iCs w:val="1"/>
          <w:color w:val="auto"/>
        </w:rPr>
        <w:t xml:space="preserve">Section 435.08 Several Obligations. </w:t>
      </w:r>
      <w:r>
        <w:rPr>
          <w:rFonts w:ascii="Times New Roman" w:cs="Times New Roman" w:eastAsia="Times New Roman" w:hAnsi="Times New Roman"/>
          <w:sz w:val="16"/>
          <w:szCs w:val="16"/>
          <w:color w:val="auto"/>
        </w:rPr>
        <w:t>The failure of any Lender to make any Advance to be made by it on the date specified therefor shall not relieve any other Lender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 to make its Advance on such date, the Administrative Agent shall not be responsible for the failure of any Lender to make any Advance, and no Lender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responsible for the failure of any other Lender to make an Advance to be made by such other Lender.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435.09 Increased Costs.</w:t>
      </w:r>
    </w:p>
    <w:p>
      <w:pPr>
        <w:spacing w:after="0" w:line="136" w:lineRule="exact"/>
        <w:rPr>
          <w:sz w:val="20"/>
          <w:szCs w:val="20"/>
          <w:color w:val="auto"/>
        </w:rPr>
      </w:pPr>
    </w:p>
    <w:p>
      <w:pPr>
        <w:jc w:val="both"/>
        <w:ind w:left="520" w:firstLine="503"/>
        <w:spacing w:after="0" w:line="226" w:lineRule="auto"/>
        <w:tabs>
          <w:tab w:leader="none" w:pos="153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the 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w:t>
      </w:r>
    </w:p>
    <w:p>
      <w:pPr>
        <w:sectPr>
          <w:pgSz w:w="11900" w:h="16838" w:orient="portrait"/>
          <w:cols w:equalWidth="0" w:num="1">
            <w:col w:w="11280"/>
          </w:cols>
          <w:pgMar w:left="300" w:top="1128" w:right="319" w:bottom="1440" w:gutter="0" w:footer="0" w:header="0"/>
        </w:sectPr>
      </w:pPr>
    </w:p>
    <w:bookmarkStart w:id="258" w:name="page259"/>
    <w:bookmarkEnd w:id="258"/>
    <w:p>
      <w:pPr>
        <w:ind w:left="520"/>
        <w:spacing w:after="0"/>
        <w:rPr>
          <w:sz w:val="20"/>
          <w:szCs w:val="20"/>
          <w:color w:val="auto"/>
        </w:rPr>
      </w:pPr>
      <w:r>
        <w:rPr>
          <w:rFonts w:ascii="Times New Roman" w:cs="Times New Roman" w:eastAsia="Times New Roman" w:hAnsi="Times New Roman"/>
          <w:sz w:val="16"/>
          <w:szCs w:val="16"/>
          <w:color w:val="auto"/>
        </w:rPr>
        <w:t>Authority (whether or not having the force of law) after the date hereof, (a “</w:t>
      </w:r>
      <w:r>
        <w:rPr>
          <w:rFonts w:ascii="Times New Roman" w:cs="Times New Roman" w:eastAsia="Times New Roman" w:hAnsi="Times New Roman"/>
          <w:sz w:val="16"/>
          <w:szCs w:val="16"/>
          <w:i w:val="1"/>
          <w:iCs w:val="1"/>
          <w:color w:val="auto"/>
        </w:rPr>
        <w:t>Regulatory Change</w:t>
      </w:r>
      <w:r>
        <w:rPr>
          <w:rFonts w:ascii="Times New Roman" w:cs="Times New Roman" w:eastAsia="Times New Roman" w:hAnsi="Times New Roman"/>
          <w:sz w:val="16"/>
          <w:szCs w:val="16"/>
          <w:color w:val="auto"/>
        </w:rPr>
        <w:t>”) shall:</w:t>
      </w:r>
    </w:p>
    <w:p>
      <w:pPr>
        <w:spacing w:after="0" w:line="179" w:lineRule="exact"/>
        <w:rPr>
          <w:sz w:val="20"/>
          <w:szCs w:val="20"/>
          <w:color w:val="auto"/>
        </w:rPr>
      </w:pPr>
    </w:p>
    <w:p>
      <w:pPr>
        <w:jc w:val="both"/>
        <w:ind w:left="1020" w:firstLine="513"/>
        <w:spacing w:after="0" w:line="242" w:lineRule="auto"/>
        <w:tabs>
          <w:tab w:leader="none" w:pos="203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 impose, modify or deem applicable any reserve (including any reserve imposed by the Board of Governors of the Federal Reserve System, but excluding any reserve included in the determination of interest on the Advances), special deposit or similar requirement against assets of any Affected Person, deposits or obligations with or for the account of any Affected Person or with or for the account of any Affiliate (or entity deemed by the Federal Reserve Board to be an Affiliate) of any Affected Person, or credit extended by any Affected Person;</w:t>
      </w:r>
    </w:p>
    <w:p>
      <w:pPr>
        <w:spacing w:after="0" w:line="179"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  change the amount of capital maintained or required or requested or directed to be maintained by any Affected Person;</w:t>
      </w:r>
    </w:p>
    <w:p>
      <w:pPr>
        <w:spacing w:after="0" w:line="186" w:lineRule="exact"/>
        <w:rPr>
          <w:rFonts w:ascii="Times New Roman" w:cs="Times New Roman" w:eastAsia="Times New Roman" w:hAnsi="Times New Roman"/>
          <w:sz w:val="17"/>
          <w:szCs w:val="17"/>
          <w:color w:val="auto"/>
        </w:rPr>
      </w:pPr>
    </w:p>
    <w:p>
      <w:pPr>
        <w:jc w:val="both"/>
        <w:ind w:left="1020" w:firstLine="513"/>
        <w:spacing w:after="0" w:line="246" w:lineRule="auto"/>
        <w:tabs>
          <w:tab w:leader="none" w:pos="203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 subject any Affected Person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65" w:lineRule="exact"/>
        <w:rPr>
          <w:rFonts w:ascii="Times New Roman" w:cs="Times New Roman" w:eastAsia="Times New Roman" w:hAnsi="Times New Roman"/>
          <w:sz w:val="17"/>
          <w:szCs w:val="17"/>
          <w:color w:val="auto"/>
        </w:rPr>
      </w:pPr>
    </w:p>
    <w:p>
      <w:pPr>
        <w:ind w:left="1020" w:firstLine="513"/>
        <w:spacing w:after="0" w:line="258" w:lineRule="auto"/>
        <w:tabs>
          <w:tab w:leader="none" w:pos="203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 impose any other condition affecting any Advance owned or funded in whole or in part by any Affected Person, or its obligations or rights, if any, to make Advances or to provide funding therefor;</w:t>
      </w:r>
    </w:p>
    <w:p>
      <w:pPr>
        <w:spacing w:after="0" w:line="165" w:lineRule="exact"/>
        <w:rPr>
          <w:rFonts w:ascii="Times New Roman" w:cs="Times New Roman" w:eastAsia="Times New Roman" w:hAnsi="Times New Roman"/>
          <w:sz w:val="17"/>
          <w:szCs w:val="17"/>
          <w:color w:val="auto"/>
        </w:rPr>
      </w:pPr>
    </w:p>
    <w:p>
      <w:pPr>
        <w:ind w:left="1020" w:firstLine="513"/>
        <w:spacing w:after="0" w:line="244" w:lineRule="auto"/>
        <w:tabs>
          <w:tab w:leader="none" w:pos="203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(E) change the rate for, or the manner in which the Federal Deposit Insurance Corporation (or a successor thereto) assesses, deposit insurance premiums or similar charges; or</w:t>
      </w:r>
    </w:p>
    <w:p>
      <w:pPr>
        <w:spacing w:after="0" w:line="176" w:lineRule="exact"/>
        <w:rPr>
          <w:rFonts w:ascii="Times New Roman" w:cs="Times New Roman" w:eastAsia="Times New Roman" w:hAnsi="Times New Roman"/>
          <w:sz w:val="17"/>
          <w:szCs w:val="17"/>
          <w:color w:val="auto"/>
        </w:rPr>
      </w:pPr>
    </w:p>
    <w:p>
      <w:pPr>
        <w:ind w:left="1020" w:firstLine="513"/>
        <w:spacing w:after="0" w:line="244" w:lineRule="auto"/>
        <w:tabs>
          <w:tab w:leader="none" w:pos="203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 cause an internal capital or liquidity charge or other imputed cost to be assessed upon any Affected Person which, in the sole discretion of such Affected Person, is allocable to the Borrower or to the transactions contemplated by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the result of any of the foregoing is or would be to:</w:t>
      </w:r>
    </w:p>
    <w:p>
      <w:pPr>
        <w:spacing w:after="0" w:line="198" w:lineRule="exact"/>
        <w:rPr>
          <w:sz w:val="20"/>
          <w:szCs w:val="20"/>
          <w:color w:val="auto"/>
        </w:rPr>
      </w:pPr>
    </w:p>
    <w:p>
      <w:pPr>
        <w:ind w:left="1520" w:hanging="497"/>
        <w:spacing w:after="0"/>
        <w:tabs>
          <w:tab w:leader="none" w:pos="15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(x)  increase the cost to or to impose a cost on an Affected Person funding or making or maintaining any Advance, or</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(y)  reduce the amount of any sum received or receivable by an Affected Person under this Agreement, or</w:t>
      </w:r>
    </w:p>
    <w:p>
      <w:pPr>
        <w:spacing w:after="0" w:line="18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(z)   in the sole determination of such Affected Person, reduce the rate of return on the capital of an Affected Person as a consequence of its obligations</w:t>
      </w:r>
    </w:p>
    <w:p>
      <w:pPr>
        <w:spacing w:after="0" w:line="2"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hereunder,</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then within thirty (30) days after written demand (with a copy to the Administrative Agent) by such Affected Person (which demand shall be accompanied by a statement setting forth in reasonable detail the basis of such demand), the Borrower shall pay directly to such Affected Person such additional amount or</w:t>
      </w:r>
    </w:p>
    <w:p>
      <w:pPr>
        <w:sectPr>
          <w:pgSz w:w="11900" w:h="16838" w:orient="portrait"/>
          <w:cols w:equalWidth="0" w:num="1">
            <w:col w:w="11280"/>
          </w:cols>
          <w:pgMar w:left="300" w:top="1127" w:right="319" w:bottom="1440" w:gutter="0" w:footer="0" w:header="0"/>
        </w:sectPr>
      </w:pPr>
    </w:p>
    <w:bookmarkStart w:id="259" w:name="page260"/>
    <w:bookmarkEnd w:id="259"/>
    <w:p>
      <w:pPr>
        <w:spacing w:after="0" w:line="290" w:lineRule="auto"/>
        <w:rPr>
          <w:sz w:val="20"/>
          <w:szCs w:val="20"/>
          <w:color w:val="auto"/>
        </w:rPr>
      </w:pPr>
      <w:r>
        <w:rPr>
          <w:rFonts w:ascii="Times New Roman" w:cs="Times New Roman" w:eastAsia="Times New Roman" w:hAnsi="Times New Roman"/>
          <w:sz w:val="14"/>
          <w:szCs w:val="14"/>
          <w:color w:val="auto"/>
        </w:rPr>
        <w:t>amounts as will compensate such Affected Person for such additional or increased cost or such reduction. For the avoidance of doubt, (i) the Dodd Frank Wall Street Reform and Consumer Protection Act (“</w:t>
      </w:r>
      <w:r>
        <w:rPr>
          <w:rFonts w:ascii="Times New Roman" w:cs="Times New Roman" w:eastAsia="Times New Roman" w:hAnsi="Times New Roman"/>
          <w:sz w:val="14"/>
          <w:szCs w:val="14"/>
          <w:i w:val="1"/>
          <w:iCs w:val="1"/>
          <w:color w:val="auto"/>
        </w:rPr>
        <w:t>Dodd Frank Act</w:t>
      </w:r>
      <w:r>
        <w:rPr>
          <w:rFonts w:ascii="Times New Roman" w:cs="Times New Roman" w:eastAsia="Times New Roman" w:hAnsi="Times New Roman"/>
          <w:sz w:val="14"/>
          <w:szCs w:val="14"/>
          <w:color w:val="auto"/>
        </w:rPr>
        <w:t>”); (ii) the revised Basel Accord prepared by the Basel Committee on Banking Supervision as set out in the publication entitled “Basel</w:t>
      </w:r>
    </w:p>
    <w:p>
      <w:pPr>
        <w:jc w:val="both"/>
        <w:ind w:firstLine="5"/>
        <w:spacing w:after="0" w:line="244" w:lineRule="auto"/>
        <w:tabs>
          <w:tab w:leader="none" w:pos="20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Convergence of Capital Measurements and Capital Standards: A Revised Framework,” as updated from time to time (“</w:t>
      </w:r>
      <w:r>
        <w:rPr>
          <w:rFonts w:ascii="Times New Roman" w:cs="Times New Roman" w:eastAsia="Times New Roman" w:hAnsi="Times New Roman"/>
          <w:sz w:val="16"/>
          <w:szCs w:val="16"/>
          <w:i w:val="1"/>
          <w:iCs w:val="1"/>
          <w:color w:val="auto"/>
        </w:rPr>
        <w:t>Basel II</w:t>
      </w:r>
      <w:r>
        <w:rPr>
          <w:rFonts w:ascii="Times New Roman" w:cs="Times New Roman" w:eastAsia="Times New Roman" w:hAnsi="Times New Roman"/>
          <w:sz w:val="16"/>
          <w:szCs w:val="16"/>
          <w:color w:val="auto"/>
        </w:rPr>
        <w:t>”); (iii) the publication entitled “Basel III: A global regulatory framework for more resilient banks and banking systems,” as updated from time to time (“</w:t>
      </w:r>
      <w:r>
        <w:rPr>
          <w:rFonts w:ascii="Times New Roman" w:cs="Times New Roman" w:eastAsia="Times New Roman" w:hAnsi="Times New Roman"/>
          <w:sz w:val="16"/>
          <w:szCs w:val="16"/>
          <w:i w:val="1"/>
          <w:iCs w:val="1"/>
          <w:color w:val="auto"/>
        </w:rPr>
        <w:t>Basel III</w:t>
      </w:r>
      <w:r>
        <w:rPr>
          <w:rFonts w:ascii="Times New Roman" w:cs="Times New Roman" w:eastAsia="Times New Roman" w:hAnsi="Times New Roman"/>
          <w:sz w:val="16"/>
          <w:szCs w:val="16"/>
          <w:color w:val="auto"/>
        </w:rPr>
        <w:t>”), including any publications addressing the liquidity coverage ratio (“LCR”) or the supplementary leverage ratio (“</w:t>
      </w:r>
      <w:r>
        <w:rPr>
          <w:rFonts w:ascii="Times New Roman" w:cs="Times New Roman" w:eastAsia="Times New Roman" w:hAnsi="Times New Roman"/>
          <w:sz w:val="16"/>
          <w:szCs w:val="16"/>
          <w:i w:val="1"/>
          <w:iCs w:val="1"/>
          <w:color w:val="auto"/>
        </w:rPr>
        <w:t>SLR</w:t>
      </w:r>
      <w:r>
        <w:rPr>
          <w:rFonts w:ascii="Times New Roman" w:cs="Times New Roman" w:eastAsia="Times New Roman" w:hAnsi="Times New Roman"/>
          <w:sz w:val="16"/>
          <w:szCs w:val="16"/>
          <w:color w:val="auto"/>
        </w:rPr>
        <w:t>”); or (iv) any implementing laws, rules, regulations, guidance, interpretations or directives from any Governmental Authority relating to the Dodd Frank Act, Basel II or Basel III (whether or not having the force of law), and in each case all rules and regulations promulgated thereunder or issued in connection therewith shall be deemed to have been introduced after the Closing Date, thereby constituting a Regulatory Change hereunder with respect to the Affected Persons as of the Closing Date, regardless of the date enacted, adopted or issued, but only to the extent such laws, rules, regulations, guidance, interpretations or directives are applied to Borrower by any Affected Person in substantially the same manner as applied to other similarly situated borrowers under comparable credit facilities.</w:t>
      </w:r>
    </w:p>
    <w:p>
      <w:pPr>
        <w:spacing w:after="0" w:line="136" w:lineRule="exact"/>
        <w:rPr>
          <w:rFonts w:ascii="Times New Roman" w:cs="Times New Roman" w:eastAsia="Times New Roman" w:hAnsi="Times New Roman"/>
          <w:sz w:val="16"/>
          <w:szCs w:val="16"/>
          <w:color w:val="auto"/>
        </w:rPr>
      </w:pPr>
    </w:p>
    <w:p>
      <w:pPr>
        <w:jc w:val="both"/>
        <w:ind w:left="520" w:firstLine="503"/>
        <w:spacing w:after="0" w:line="210" w:lineRule="auto"/>
        <w:tabs>
          <w:tab w:leader="none" w:pos="1529"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occurrence of any event giving rise to the Borrower’s obligation to pay additional amounts to a Lender pursuant to clause (a) of this Section 2.09, such Lender will (i) use reasonable efforts (subject to overall policy considerations of such Lender) to designate a different lending office if such designation would reduce or obviate the obligations of the Borrower to make future payments of such additional amounts;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designation is made on such terms that such Lender and its lending office suffer no material unreimbursed cost or material legal or material regulatory disadvantage (as reasonably determined by such Lender), with the object of avoiding future consequence of the event giving rise to the operation of any such provision or (ii) take such other measures as such Lender may deem reasonable, if as a result thereof the circumstances which would cause such Lender to be an Affected Person would cease to exist or the additional amounts which would otherwise be required to be paid to such Lender pursuant to this Section 2.09 would be materially reduced and if, as determined by such Lender in its sole discretion, the making, issuing, funding or maintaining of such Advances through such other office or in accordance with such other measures, as the case may be, would not otherwise adversely affect such Advances or the interests of such Lender.</w:t>
      </w:r>
    </w:p>
    <w:p>
      <w:pPr>
        <w:spacing w:after="0" w:line="121" w:lineRule="exact"/>
        <w:rPr>
          <w:rFonts w:ascii="Times New Roman" w:cs="Times New Roman" w:eastAsia="Times New Roman" w:hAnsi="Times New Roman"/>
          <w:sz w:val="16"/>
          <w:szCs w:val="16"/>
          <w:color w:val="auto"/>
        </w:rPr>
      </w:pPr>
    </w:p>
    <w:p>
      <w:pPr>
        <w:ind w:left="520" w:firstLine="503"/>
        <w:spacing w:after="0" w:line="235" w:lineRule="auto"/>
        <w:tabs>
          <w:tab w:leader="none" w:pos="1537"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delay on the part of an Affected Person to demand compensation pursuant to this Section shall not constitute a waiver of such Affected Person’s right to demand such compensation.</w:t>
      </w:r>
    </w:p>
    <w:p>
      <w:pPr>
        <w:spacing w:after="0" w:line="126"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i w:val="1"/>
          <w:iCs w:val="1"/>
          <w:color w:val="auto"/>
        </w:rPr>
        <w:t xml:space="preserve">Section 435.10 Compensation; Breakage Payments. </w:t>
      </w:r>
      <w:r>
        <w:rPr>
          <w:rFonts w:ascii="Times New Roman" w:cs="Times New Roman" w:eastAsia="Times New Roman" w:hAnsi="Times New Roman"/>
          <w:sz w:val="16"/>
          <w:szCs w:val="16"/>
          <w:color w:val="auto"/>
        </w:rPr>
        <w:t>The Borrower agrees to compensate each Affected Person from time to time, on the Payment Dates, following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Affected Person’s written request (which request shall set forth the basis for requesting such amounts), in accordance with Section 9.01 for all reasonable losses, expenses and</w:t>
      </w:r>
    </w:p>
    <w:p>
      <w:pPr>
        <w:spacing w:after="0" w:line="209" w:lineRule="auto"/>
        <w:rPr>
          <w:sz w:val="20"/>
          <w:szCs w:val="20"/>
          <w:color w:val="auto"/>
        </w:rPr>
      </w:pPr>
      <w:r>
        <w:rPr>
          <w:rFonts w:ascii="Times New Roman" w:cs="Times New Roman" w:eastAsia="Times New Roman" w:hAnsi="Times New Roman"/>
          <w:sz w:val="16"/>
          <w:szCs w:val="16"/>
          <w:color w:val="auto"/>
        </w:rPr>
        <w:t>liabilities (including any interest paid by such Affected Person to lenders of funds borrowed to make or carry an Advance and any loss sustained by such Affected Person in</w:t>
      </w:r>
    </w:p>
    <w:p>
      <w:pPr>
        <w:spacing w:after="0" w:line="229" w:lineRule="auto"/>
        <w:rPr>
          <w:sz w:val="20"/>
          <w:szCs w:val="20"/>
          <w:color w:val="auto"/>
        </w:rPr>
      </w:pPr>
      <w:r>
        <w:rPr>
          <w:rFonts w:ascii="Times New Roman" w:cs="Times New Roman" w:eastAsia="Times New Roman" w:hAnsi="Times New Roman"/>
          <w:sz w:val="14"/>
          <w:szCs w:val="14"/>
          <w:color w:val="auto"/>
        </w:rPr>
        <w:t>connection with the re-employment of such funds but excluding loss of anticipated profits), which such Affected Person may sustain: (i) if for any reason (including any failure of a condition precedent set forth in Article III but excluding a default by the applicable Lender) a Borrowing of any Advance by the Borrower does not occur on the Borrowing Date</w:t>
      </w:r>
    </w:p>
    <w:p>
      <w:pPr>
        <w:spacing w:after="0" w:line="237" w:lineRule="auto"/>
        <w:rPr>
          <w:sz w:val="20"/>
          <w:szCs w:val="20"/>
          <w:color w:val="auto"/>
        </w:rPr>
      </w:pPr>
      <w:r>
        <w:rPr>
          <w:rFonts w:ascii="Times New Roman" w:cs="Times New Roman" w:eastAsia="Times New Roman" w:hAnsi="Times New Roman"/>
          <w:sz w:val="14"/>
          <w:szCs w:val="14"/>
          <w:color w:val="auto"/>
        </w:rPr>
        <w:t>specified therefor in the applicable Notice of Borrowing delivered by the Borrower, (ii) other than pursuant to Section 9.01, if the Borrower prepays any Advances with fewer than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two (2) Business Days prior written notice in accordance with Section 2.05(a), or (iii) as a consequence of any other default by the Borrower to repay its Advances when required by the terms of this Agreement. A certificate as to any amounts payable pursuant to this Section 2.10 submitted to the Borrower by any Lender (with a copy to the Administrative</w:t>
      </w:r>
    </w:p>
    <w:p>
      <w:pPr>
        <w:spacing w:after="0" w:line="217" w:lineRule="auto"/>
        <w:rPr>
          <w:sz w:val="20"/>
          <w:szCs w:val="20"/>
          <w:color w:val="auto"/>
        </w:rPr>
      </w:pPr>
      <w:r>
        <w:rPr>
          <w:rFonts w:ascii="Times New Roman" w:cs="Times New Roman" w:eastAsia="Times New Roman" w:hAnsi="Times New Roman"/>
          <w:sz w:val="16"/>
          <w:szCs w:val="16"/>
          <w:color w:val="auto"/>
        </w:rPr>
        <w:t>Agent and accompanied by a reasonably detailed calculation of such amounts and a description of the basis for requesting such amounts) shall be conclusive in the absence of manifest error.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435.11 Illegality; Inability to Determine Rates.</w:t>
      </w:r>
    </w:p>
    <w:p>
      <w:pPr>
        <w:sectPr>
          <w:pgSz w:w="11900" w:h="16838" w:orient="portrait"/>
          <w:cols w:equalWidth="0" w:num="1">
            <w:col w:w="11280"/>
          </w:cols>
          <w:pgMar w:left="300" w:top="1139" w:right="319" w:bottom="1440" w:gutter="0" w:footer="0" w:header="0"/>
        </w:sectPr>
      </w:pPr>
    </w:p>
    <w:bookmarkStart w:id="260" w:name="page261"/>
    <w:bookmarkEnd w:id="260"/>
    <w:p>
      <w:pPr>
        <w:jc w:val="both"/>
        <w:ind w:left="6" w:firstLine="503"/>
        <w:spacing w:after="0" w:line="241" w:lineRule="auto"/>
        <w:tabs>
          <w:tab w:leader="none" w:pos="101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this Agreement, in the event of a Benchmark Transition Event then the affected Lender shall promptly notify the Administrative Agent and the Borrower thereof, and such Lender’s obligation to make or maintain Advances hereunder based on the Adjusted Benchmark Rate shall be suspended until such time as such Lender may again make and maintain Advances based on the Adjusted Benchmark Rate and the Advances of each Interest Accrual Period in which such Person owns an interest shall either (1) if such Lender may lawfully continue to maintain such Advances at the Adjusted Benchmark Rate until the last day of the applicable Interest Accrual Period, be reallocated on the last day of such Interest Accrual Period to another Interest Accrual Period in respect of which the Advances allocated thereto accrues interest determined other than with respect to the Adjusted Benchmark Rate or (2) if such Lender shall determine that it may not lawfully continue to maintain such Advances at the Adjusted Benchmark Rate until the end of the applicable Interest Accrual Period, such Lender’s share of the Advances allocated to such Interest Accrual Period shall be deemed to accrue interest by reference to the Base Rate from the effective date of such notice until the end of such Interest Accrual Period.</w:t>
      </w:r>
    </w:p>
    <w:p>
      <w:pPr>
        <w:spacing w:after="0" w:line="117" w:lineRule="exact"/>
        <w:rPr>
          <w:rFonts w:ascii="Times New Roman" w:cs="Times New Roman" w:eastAsia="Times New Roman" w:hAnsi="Times New Roman"/>
          <w:sz w:val="14"/>
          <w:szCs w:val="14"/>
          <w:color w:val="auto"/>
        </w:rPr>
      </w:pPr>
    </w:p>
    <w:p>
      <w:pPr>
        <w:jc w:val="both"/>
        <w:ind w:left="6" w:firstLine="503"/>
        <w:spacing w:after="0" w:line="216" w:lineRule="auto"/>
        <w:tabs>
          <w:tab w:leader="none" w:pos="101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occurrence of any event giving rise to a Lender’s suspending its obligation to make or maintain Advances based on the Adjusted Benchmark Rate pursuant to Section 2.11(a), such Lender will, if requested by the Borrower, use reasonable efforts (subject to overall policy considerations of such Lender) to designate a different lending office if such designation would enable such Lender to again make and maintain Advances based on the Adjusted Benchmark Rate;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Section 435.12 Effect of Benchmark Replacement Event.</w:t>
      </w:r>
    </w:p>
    <w:p>
      <w:pPr>
        <w:spacing w:after="0" w:line="136" w:lineRule="exact"/>
        <w:rPr>
          <w:sz w:val="20"/>
          <w:szCs w:val="20"/>
          <w:color w:val="auto"/>
        </w:rPr>
      </w:pPr>
    </w:p>
    <w:p>
      <w:pPr>
        <w:ind w:left="1006" w:hanging="497"/>
        <w:spacing w:after="0"/>
        <w:tabs>
          <w:tab w:leader="none" w:pos="1006"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clauses (b), (c) and (d) of this Section 2.12, if the Administrative Agent:</w:t>
      </w:r>
    </w:p>
    <w:p>
      <w:pPr>
        <w:spacing w:after="0" w:line="144" w:lineRule="exact"/>
        <w:rPr>
          <w:rFonts w:ascii="Times New Roman" w:cs="Times New Roman" w:eastAsia="Times New Roman" w:hAnsi="Times New Roman"/>
          <w:sz w:val="16"/>
          <w:szCs w:val="16"/>
          <w:color w:val="auto"/>
        </w:rPr>
      </w:pPr>
    </w:p>
    <w:p>
      <w:pPr>
        <w:ind w:left="506" w:firstLine="513"/>
        <w:spacing w:after="0" w:line="235" w:lineRule="auto"/>
        <w:tabs>
          <w:tab w:leader="none" w:pos="1523" w:val="left"/>
        </w:tabs>
        <w:numPr>
          <w:ilvl w:val="2"/>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determines (which determination shall be conclusive absent manifest error) at any time, that adequate and reasonable means do not exist for ascertaining the applicable SOFR Rate; or</w:t>
      </w:r>
    </w:p>
    <w:p>
      <w:pPr>
        <w:spacing w:after="0" w:line="117" w:lineRule="exact"/>
        <w:rPr>
          <w:rFonts w:ascii="Times New Roman" w:cs="Times New Roman" w:eastAsia="Times New Roman" w:hAnsi="Times New Roman"/>
          <w:sz w:val="16"/>
          <w:szCs w:val="16"/>
          <w:color w:val="auto"/>
        </w:rPr>
      </w:pPr>
    </w:p>
    <w:p>
      <w:pPr>
        <w:ind w:left="506" w:firstLine="513"/>
        <w:spacing w:after="0" w:line="235" w:lineRule="auto"/>
        <w:tabs>
          <w:tab w:leader="none" w:pos="1523" w:val="left"/>
        </w:tabs>
        <w:numPr>
          <w:ilvl w:val="2"/>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advised by the Required Lenders that at any time, the applicable SOFR Rate will not adequately and fairly reflect the cost to such Lenders (or Lender) of making or maintaining their (or its) interest in the Advances outstanding;</w:t>
      </w:r>
    </w:p>
    <w:p>
      <w:pPr>
        <w:spacing w:after="0" w:line="148" w:lineRule="exact"/>
        <w:rPr>
          <w:rFonts w:ascii="Times New Roman" w:cs="Times New Roman" w:eastAsia="Times New Roman" w:hAnsi="Times New Roman"/>
          <w:sz w:val="16"/>
          <w:szCs w:val="16"/>
          <w:color w:val="auto"/>
        </w:rPr>
      </w:pPr>
    </w:p>
    <w:p>
      <w:pPr>
        <w:jc w:val="both"/>
        <w:ind w:left="6" w:hanging="6"/>
        <w:spacing w:after="0" w:line="247" w:lineRule="auto"/>
        <w:tabs>
          <w:tab w:leader="none" w:pos="51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then the Administrative Agent shall give written notice thereof (in accordance with Section 12.02 of this Agreement) to the Borrower and the Lenders by telephone (with written notice to follow promptly thereafter), telecopy or electronic mail as promptly as practicable thereafter and, until the Administrative Agent notifies the Borrower and the Lenders that the circumstances giving rise to such notice no longer exist with respect to the relevant Benchmark, the Advances outstanding bearing interest by reference to the SOFR Rate shall bear interest by reference to the Base Rate.</w:t>
      </w:r>
    </w:p>
    <w:p>
      <w:pPr>
        <w:spacing w:after="0" w:line="141" w:lineRule="exact"/>
        <w:rPr>
          <w:rFonts w:ascii="Times New Roman" w:cs="Times New Roman" w:eastAsia="Times New Roman" w:hAnsi="Times New Roman"/>
          <w:sz w:val="17"/>
          <w:szCs w:val="17"/>
          <w:color w:val="auto"/>
        </w:rPr>
      </w:pPr>
    </w:p>
    <w:p>
      <w:pPr>
        <w:jc w:val="both"/>
        <w:ind w:left="6" w:firstLine="503"/>
        <w:spacing w:after="0" w:line="213" w:lineRule="auto"/>
        <w:tabs>
          <w:tab w:leader="none" w:pos="1017"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Benchmark Replacement</w:t>
      </w:r>
      <w:r>
        <w:rPr>
          <w:rFonts w:ascii="Times New Roman" w:cs="Times New Roman" w:eastAsia="Times New Roman" w:hAnsi="Times New Roman"/>
          <w:sz w:val="16"/>
          <w:szCs w:val="16"/>
          <w:color w:val="auto"/>
        </w:rPr>
        <w:t>. Notwithstanding anything to the contrary in this Agreement or in any other Facility Document, if a Benchmark Transition Event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its related Benchmark Replacement Date have occurred, the Benchmark Replacement will replace the then-current Benchmark for all purposes hereunder, or under any Facility Document, in respect of all determinations of the Benchmark at any time following 5:00 p.m. on the fifth (5th) Business Day after the date notice of such Benchmark Replacement is provided by the Administrative Agent to the Borrower and the Lenders without any amendment to this Agreement or further action or consent of the Borrower, the Lenders or any other party.</w:t>
      </w:r>
    </w:p>
    <w:p>
      <w:pPr>
        <w:sectPr>
          <w:pgSz w:w="11900" w:h="16838" w:orient="portrait"/>
          <w:cols w:equalWidth="0" w:num="1">
            <w:col w:w="10766"/>
          </w:cols>
          <w:pgMar w:left="814" w:top="1129" w:right="319" w:bottom="1440" w:gutter="0" w:footer="0" w:header="0"/>
        </w:sectPr>
      </w:pPr>
    </w:p>
    <w:bookmarkStart w:id="261" w:name="page262"/>
    <w:bookmarkEnd w:id="261"/>
    <w:p>
      <w:pPr>
        <w:jc w:val="both"/>
        <w:ind w:left="520" w:firstLine="503"/>
        <w:spacing w:after="0" w:line="218" w:lineRule="auto"/>
        <w:tabs>
          <w:tab w:leader="none" w:pos="152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Benchmark Replacement Conforming Changes</w:t>
      </w:r>
      <w:r>
        <w:rPr>
          <w:rFonts w:ascii="Times New Roman" w:cs="Times New Roman" w:eastAsia="Times New Roman" w:hAnsi="Times New Roman"/>
          <w:sz w:val="16"/>
          <w:szCs w:val="16"/>
          <w:color w:val="auto"/>
        </w:rPr>
        <w:t>. In connection with the implementation and administration of a Benchmark Replacement, the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the Borrower, the Lenders or any other party to this Agreement.</w:t>
      </w:r>
    </w:p>
    <w:p>
      <w:pPr>
        <w:spacing w:after="0" w:line="127" w:lineRule="exact"/>
        <w:rPr>
          <w:rFonts w:ascii="Times New Roman" w:cs="Times New Roman" w:eastAsia="Times New Roman" w:hAnsi="Times New Roman"/>
          <w:sz w:val="16"/>
          <w:szCs w:val="16"/>
          <w:color w:val="auto"/>
        </w:rPr>
      </w:pPr>
    </w:p>
    <w:p>
      <w:pPr>
        <w:jc w:val="both"/>
        <w:ind w:left="520" w:firstLine="503"/>
        <w:spacing w:after="0" w:line="245" w:lineRule="auto"/>
        <w:tabs>
          <w:tab w:leader="none" w:pos="1531"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Notices; Standards for Decisions and Determinations</w:t>
      </w:r>
      <w:r>
        <w:rPr>
          <w:rFonts w:ascii="Times New Roman" w:cs="Times New Roman" w:eastAsia="Times New Roman" w:hAnsi="Times New Roman"/>
          <w:sz w:val="14"/>
          <w:szCs w:val="14"/>
          <w:color w:val="auto"/>
        </w:rPr>
        <w:t>. The Administrative Agent will promptly notify the Borrower and the Lenders of (i) any occurrence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Benchmark Transition Event and its related Benchmark Replacement Date, (ii) the implementation of any Benchmark Replacement and (iii) the effectiveness of any Benchmark Replacement Conforming Changes. Any determination, decision or election that may be made by the Administrative Agent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the Borrower or any Lender.</w:t>
      </w:r>
    </w:p>
    <w:p>
      <w:pPr>
        <w:spacing w:after="0" w:line="122" w:lineRule="exact"/>
        <w:rPr>
          <w:rFonts w:ascii="Times New Roman" w:cs="Times New Roman" w:eastAsia="Times New Roman" w:hAnsi="Times New Roman"/>
          <w:sz w:val="14"/>
          <w:szCs w:val="14"/>
          <w:color w:val="auto"/>
        </w:rPr>
      </w:pPr>
    </w:p>
    <w:p>
      <w:pPr>
        <w:jc w:val="both"/>
        <w:ind w:left="520" w:firstLine="503"/>
        <w:spacing w:after="0" w:line="207" w:lineRule="auto"/>
        <w:tabs>
          <w:tab w:leader="none" w:pos="153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Interest Rate; Notification</w:t>
      </w:r>
      <w:r>
        <w:rPr>
          <w:rFonts w:ascii="Times New Roman" w:cs="Times New Roman" w:eastAsia="Times New Roman" w:hAnsi="Times New Roman"/>
          <w:sz w:val="16"/>
          <w:szCs w:val="16"/>
          <w:color w:val="auto"/>
        </w:rPr>
        <w:t>. The interest rate on all or a portion of the Advances outstanding may be derived from an interest rate benchmark that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discontinued or is, or may in the future become, the subject of regulatory reform. Upon the occurrence of a Benchmark Transition Event, Section 2.12(b)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Section 435.13 Rescission or Return of Payment. </w:t>
      </w:r>
      <w:r>
        <w:rPr>
          <w:rFonts w:ascii="Times New Roman" w:cs="Times New Roman" w:eastAsia="Times New Roman" w:hAnsi="Times New Roman"/>
          <w:sz w:val="14"/>
          <w:szCs w:val="14"/>
          <w:color w:val="auto"/>
        </w:rPr>
        <w:t>The Borrower agrees that, if at any time (including after the occurrence of the Final Maturity Date) all or any part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 theretofore made by it to any Secured Party or any designee of a Secured Party is or must be rescinded or returned for any reason (including the insolvency, bankruptcy or</w:t>
      </w:r>
    </w:p>
    <w:p>
      <w:pPr>
        <w:spacing w:after="0" w:line="229" w:lineRule="auto"/>
        <w:rPr>
          <w:sz w:val="20"/>
          <w:szCs w:val="20"/>
          <w:color w:val="auto"/>
        </w:rPr>
      </w:pPr>
      <w:r>
        <w:rPr>
          <w:rFonts w:ascii="Times New Roman" w:cs="Times New Roman" w:eastAsia="Times New Roman" w:hAnsi="Times New Roman"/>
          <w:sz w:val="14"/>
          <w:szCs w:val="14"/>
          <w:color w:val="auto"/>
        </w:rPr>
        <w:t>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w:t>
      </w:r>
    </w:p>
    <w:p>
      <w:pPr>
        <w:spacing w:after="0"/>
        <w:rPr>
          <w:sz w:val="20"/>
          <w:szCs w:val="20"/>
          <w:color w:val="auto"/>
        </w:rPr>
      </w:pPr>
      <w:r>
        <w:rPr>
          <w:rFonts w:ascii="Times New Roman" w:cs="Times New Roman" w:eastAsia="Times New Roman" w:hAnsi="Times New Roman"/>
          <w:sz w:val="16"/>
          <w:szCs w:val="16"/>
          <w:color w:val="auto"/>
        </w:rPr>
        <w:t>maybe, as to such obligations, all as though such payment had not been made.</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435.14 Interest on Past Due Amounts. </w:t>
      </w:r>
      <w:r>
        <w:rPr>
          <w:rFonts w:ascii="Times New Roman" w:cs="Times New Roman" w:eastAsia="Times New Roman" w:hAnsi="Times New Roman"/>
          <w:sz w:val="14"/>
          <w:szCs w:val="14"/>
          <w:color w:val="auto"/>
        </w:rPr>
        <w:t>The Borrower shall pay interest on all Class A Obligations (excluding any fees or other third party expenses due to the Class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Lenders, including, but not limited to any Class A Prepayment Premiums, Class A Exit Fees, Class A Minimum Utilization Fee and Class A Unused Fees) that are not paid when</w:t>
      </w:r>
    </w:p>
    <w:p>
      <w:pPr>
        <w:spacing w:after="0" w:line="208" w:lineRule="auto"/>
        <w:rPr>
          <w:sz w:val="20"/>
          <w:szCs w:val="20"/>
          <w:color w:val="auto"/>
        </w:rPr>
      </w:pPr>
      <w:r>
        <w:rPr>
          <w:rFonts w:ascii="Times New Roman" w:cs="Times New Roman" w:eastAsia="Times New Roman" w:hAnsi="Times New Roman"/>
          <w:sz w:val="16"/>
          <w:szCs w:val="16"/>
          <w:color w:val="auto"/>
        </w:rPr>
        <w:t>due for the period from the due date thereof until the date the same is paid in full at the rate set forth under clause (c) of the definition of “Class A Interest Rate” (and without</w:t>
      </w:r>
    </w:p>
    <w:p>
      <w:pPr>
        <w:spacing w:after="0" w:line="217" w:lineRule="auto"/>
        <w:rPr>
          <w:sz w:val="20"/>
          <w:szCs w:val="20"/>
          <w:color w:val="auto"/>
        </w:rPr>
      </w:pPr>
      <w:r>
        <w:rPr>
          <w:rFonts w:ascii="Times New Roman" w:cs="Times New Roman" w:eastAsia="Times New Roman" w:hAnsi="Times New Roman"/>
          <w:sz w:val="16"/>
          <w:szCs w:val="16"/>
          <w:color w:val="auto"/>
        </w:rPr>
        <w:t>duplication of any other Class A Interest Rate that might be charged on such amounts for such period). The Borrower shall pay interest on all Class B Obligations (excluding any fees or other</w:t>
      </w:r>
    </w:p>
    <w:p>
      <w:pPr>
        <w:sectPr>
          <w:pgSz w:w="11900" w:h="16838" w:orient="portrait"/>
          <w:cols w:equalWidth="0" w:num="1">
            <w:col w:w="11280"/>
          </w:cols>
          <w:pgMar w:left="300" w:top="1127" w:right="3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color w:val="auto"/>
        </w:rPr>
        <w:t>third party expenses due to the Class B Lenders, including, but not limited to any Class B Prepayment Premiums, Class B Minimum Utilization Fees and Class B Unused Fees) that</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are not paid when due for the period from the due date thereof until the date the same is paid in full at the rate set forth under clause (c) of the definition of “Class B Interest Rate” (and without duplication of any other Class B Interest Rate that might be charged on such amounts for such period). Class A Interest and Class B Interest payable pursuant to this</w:t>
      </w:r>
    </w:p>
    <w:p>
      <w:pPr>
        <w:spacing w:after="0"/>
        <w:rPr>
          <w:sz w:val="20"/>
          <w:szCs w:val="20"/>
          <w:color w:val="auto"/>
        </w:rPr>
      </w:pPr>
      <w:r>
        <w:rPr>
          <w:rFonts w:ascii="Times New Roman" w:cs="Times New Roman" w:eastAsia="Times New Roman" w:hAnsi="Times New Roman"/>
          <w:sz w:val="16"/>
          <w:szCs w:val="16"/>
          <w:color w:val="auto"/>
        </w:rPr>
        <w:t>Section 2.14 shall be payable on each Payment Date in accordance with Section 9.01.</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435.15 Payments Generally.</w:t>
      </w:r>
    </w:p>
    <w:p>
      <w:pPr>
        <w:spacing w:after="0" w:line="136" w:lineRule="exact"/>
        <w:rPr>
          <w:sz w:val="20"/>
          <w:szCs w:val="20"/>
          <w:color w:val="auto"/>
        </w:rPr>
      </w:pPr>
    </w:p>
    <w:p>
      <w:pPr>
        <w:jc w:val="both"/>
        <w:ind w:left="520" w:firstLine="503"/>
        <w:spacing w:after="0" w:line="211" w:lineRule="auto"/>
        <w:tabs>
          <w:tab w:leader="none" w:pos="153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amounts owing and payable to any Secured Party, any Affected Person or any Indemnified Party, in respect of the Advances and other Obligations, including the principal thereof, interest, fees, indemnities, expenses or other amounts payable under this Agreement or any other Facility Document, shall be paid by the Borrower to the Administrative Agent for the account of the applicable recipient in Dollars, in immediately available funds, in accordance with Section 9.01, and all without counterclaim, setoff, deduction, defense, abatement, suspension or deferment. The Administrative Agent and each Lender shall provide wire instructions to the Borrower and the Administrative Agent. Payments must be received by the Administrative Agent for the account of the Lenders on or prior to 3:00 p.m. on a Business Day;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payments received by the Administrative Agent after 3:00 p.m. on a Business Day will be deemed to have been paid on the next following Business Day. To the extent payment was made to the Administrative Agent, the Administrative Agent promptly will make such payment amount available to each Lender on a pro rata basis based on the amount due and owed to each Lender at such time by wire transfer to such Lender’s account.</w:t>
      </w:r>
    </w:p>
    <w:p>
      <w:pPr>
        <w:spacing w:after="0" w:line="159" w:lineRule="exact"/>
        <w:rPr>
          <w:rFonts w:ascii="Times New Roman" w:cs="Times New Roman" w:eastAsia="Times New Roman" w:hAnsi="Times New Roman"/>
          <w:sz w:val="16"/>
          <w:szCs w:val="16"/>
          <w:color w:val="auto"/>
        </w:rPr>
      </w:pPr>
    </w:p>
    <w:p>
      <w:pPr>
        <w:jc w:val="both"/>
        <w:ind w:left="520" w:firstLine="503"/>
        <w:spacing w:after="0" w:line="244" w:lineRule="auto"/>
        <w:tabs>
          <w:tab w:leader="none" w:pos="153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(i) a Class A Advance is repaid on the same day on which it is made, one day’s Class A Interest shall be paid on such Class A Advance and (ii) a Class B Advance is repaid on the same day on which it is made, one day’s Class B Interest shall be paid on such Class B Advance. All computations made by the Administrative Agent under this Agreement shall be conclusive absent manifest error.</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435.16 Lender Relations</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jc w:val="both"/>
        <w:ind w:left="520" w:firstLine="503"/>
        <w:spacing w:after="0"/>
        <w:tabs>
          <w:tab w:leader="none" w:pos="1531"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Subordination; Non-Petition Covenants</w:t>
      </w:r>
      <w:r>
        <w:rPr>
          <w:rFonts w:ascii="Times New Roman" w:cs="Times New Roman" w:eastAsia="Times New Roman" w:hAnsi="Times New Roman"/>
          <w:sz w:val="14"/>
          <w:szCs w:val="14"/>
          <w:color w:val="auto"/>
        </w:rPr>
        <w:t>. Anything in this Agreement or any other Facility Documents to the contrary notwithstanding, the Borrower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the Class B Obligations (for purposes of this clause (a), the “</w:t>
      </w:r>
      <w:r>
        <w:rPr>
          <w:rFonts w:ascii="Times New Roman" w:cs="Times New Roman" w:eastAsia="Times New Roman" w:hAnsi="Times New Roman"/>
          <w:sz w:val="14"/>
          <w:szCs w:val="14"/>
          <w:i w:val="1"/>
          <w:iCs w:val="1"/>
          <w:color w:val="auto"/>
        </w:rPr>
        <w:t>Subordinated Obligations</w:t>
      </w:r>
      <w:r>
        <w:rPr>
          <w:rFonts w:ascii="Times New Roman" w:cs="Times New Roman" w:eastAsia="Times New Roman" w:hAnsi="Times New Roman"/>
          <w:sz w:val="14"/>
          <w:szCs w:val="14"/>
          <w:color w:val="auto"/>
        </w:rPr>
        <w:t>”) agree for the benefit of the holders of the Class A Obligations (for purposes of this clause (a), the “</w:t>
      </w:r>
      <w:r>
        <w:rPr>
          <w:rFonts w:ascii="Times New Roman" w:cs="Times New Roman" w:eastAsia="Times New Roman" w:hAnsi="Times New Roman"/>
          <w:sz w:val="14"/>
          <w:szCs w:val="14"/>
          <w:i w:val="1"/>
          <w:iCs w:val="1"/>
          <w:color w:val="auto"/>
        </w:rPr>
        <w:t>Senior Obligations</w:t>
      </w:r>
      <w:r>
        <w:rPr>
          <w:rFonts w:ascii="Times New Roman" w:cs="Times New Roman" w:eastAsia="Times New Roman" w:hAnsi="Times New Roman"/>
          <w:sz w:val="14"/>
          <w:szCs w:val="14"/>
          <w:color w:val="auto"/>
        </w:rPr>
        <w:t xml:space="preserve">”), that the Subordinated Obligations and the Administrative Agent’s security interest in the Collateral as security for the Subordinated Obligations shall be subordinate and junior to the Senior Obligations to the extent and in the manner set forth in this Agreement, including as set forth in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and hereinafter provided. Except as otherwise set forth in this Agreement, including in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the Senior Obligations shall be paid in full in cash, including all principal, accrued and unpaid interest and fees, if any, before any payment or distribution is made on account of the Subordinated Obligations. If, notwithstanding the provisions of this Agreement, any holder of a Subordinated Obligation shall have received any payment or distribution in respect of any Subordinated Obligation contrary to the provisions of this Agreement, then, unless and until the Senior Obligations shall have been paid in full in cash, including all principal, accrued and unpaid interest and fees, if any, in accordance with this Agreement, such payment or distribution shall be received and held in trust for the benefit of, and shall forthwith be paid over and delivered to, the Administrative Agent, which shall pay and deliver the same to the holders of the Senior Obligations then entitled thereto in accordance with this Agreement;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any such payment or distribution is made other than in cash, it shall be held by the Administrative Agent as part of the Collateral and subject in all respects to the provisions of this Agreement, including the provisions of this </w:t>
      </w:r>
      <w:r>
        <w:rPr>
          <w:rFonts w:ascii="Times New Roman" w:cs="Times New Roman" w:eastAsia="Times New Roman" w:hAnsi="Times New Roman"/>
          <w:sz w:val="14"/>
          <w:szCs w:val="14"/>
          <w:u w:val="single" w:color="auto"/>
          <w:color w:val="auto"/>
        </w:rPr>
        <w:t>Section 2.16</w:t>
      </w:r>
      <w:r>
        <w:rPr>
          <w:rFonts w:ascii="Times New Roman" w:cs="Times New Roman" w:eastAsia="Times New Roman" w:hAnsi="Times New Roman"/>
          <w:sz w:val="14"/>
          <w:szCs w:val="14"/>
          <w:color w:val="auto"/>
        </w:rPr>
        <w:t>. The</w:t>
      </w:r>
    </w:p>
    <w:p>
      <w:pPr>
        <w:sectPr>
          <w:pgSz w:w="11900" w:h="16838" w:orient="portrait"/>
          <w:cols w:equalWidth="0" w:num="1">
            <w:col w:w="11280"/>
          </w:cols>
          <w:pgMar w:left="300" w:top="1129" w:right="319" w:bottom="1440" w:gutter="0" w:footer="0" w:header="0"/>
        </w:sectPr>
      </w:pPr>
    </w:p>
    <w:bookmarkStart w:id="263" w:name="page264"/>
    <w:bookmarkEnd w:id="263"/>
    <w:p>
      <w:pPr>
        <w:ind w:left="520"/>
        <w:spacing w:after="0"/>
        <w:rPr>
          <w:sz w:val="20"/>
          <w:szCs w:val="20"/>
          <w:color w:val="auto"/>
        </w:rPr>
      </w:pPr>
      <w:r>
        <w:rPr>
          <w:rFonts w:ascii="Times New Roman" w:cs="Times New Roman" w:eastAsia="Times New Roman" w:hAnsi="Times New Roman"/>
          <w:sz w:val="14"/>
          <w:szCs w:val="14"/>
          <w:color w:val="auto"/>
        </w:rPr>
        <w:t>holders of the Subordinated Obligations agree, for the benefit of the holders of the Senior Obligations, that, before the date that is one year and one day after the termination</w:t>
      </w:r>
    </w:p>
    <w:p>
      <w:pPr>
        <w:spacing w:after="0" w:line="16"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of this Agreement or, if longer, the expiration of the then applicable preference period plus one day, the holders of the Subordinated Obligations shall not, without the prior written consent of the Required Lenders, acquiesce, petition or otherwise invoke or cause any other Person to invoke the process of any Governmental Authority for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purpose of commencing or sustaining a case against the Borrower under the Bankruptcy Code and any other applicable federal or State bankruptcy, insolvency or other</w:t>
      </w:r>
    </w:p>
    <w:p>
      <w:pPr>
        <w:ind w:left="520"/>
        <w:spacing w:after="0" w:line="229" w:lineRule="auto"/>
        <w:rPr>
          <w:sz w:val="20"/>
          <w:szCs w:val="20"/>
          <w:color w:val="auto"/>
        </w:rPr>
      </w:pPr>
      <w:r>
        <w:rPr>
          <w:rFonts w:ascii="Times New Roman" w:cs="Times New Roman" w:eastAsia="Times New Roman" w:hAnsi="Times New Roman"/>
          <w:sz w:val="14"/>
          <w:szCs w:val="14"/>
          <w:color w:val="auto"/>
        </w:rPr>
        <w:t>similar law or appointing a receiver, liquidator, assignee, trustee, custodian, sequestrator or other similar official of the Borrower or any substantial part of its property or ordering the winding-up or liquidation of the affairs of the Borrower. Except as contemplated or expressly permitted hereunder, the holders of the Class B Obligations agree</w:t>
      </w:r>
    </w:p>
    <w:p>
      <w:pPr>
        <w:ind w:left="520"/>
        <w:spacing w:after="0" w:line="208" w:lineRule="auto"/>
        <w:rPr>
          <w:sz w:val="20"/>
          <w:szCs w:val="20"/>
          <w:color w:val="auto"/>
        </w:rPr>
      </w:pPr>
      <w:r>
        <w:rPr>
          <w:rFonts w:ascii="Times New Roman" w:cs="Times New Roman" w:eastAsia="Times New Roman" w:hAnsi="Times New Roman"/>
          <w:sz w:val="16"/>
          <w:szCs w:val="16"/>
          <w:color w:val="auto"/>
        </w:rPr>
        <w:t>not to (i) exercise or cause the Administrative Agent to exercise the powers, rights and remedies with respect to the Collateral expressly delegated to the Administrative</w:t>
      </w:r>
    </w:p>
    <w:p>
      <w:pPr>
        <w:ind w:left="520"/>
        <w:spacing w:after="0" w:line="229" w:lineRule="auto"/>
        <w:rPr>
          <w:sz w:val="20"/>
          <w:szCs w:val="20"/>
          <w:color w:val="auto"/>
        </w:rPr>
      </w:pPr>
      <w:r>
        <w:rPr>
          <w:rFonts w:ascii="Times New Roman" w:cs="Times New Roman" w:eastAsia="Times New Roman" w:hAnsi="Times New Roman"/>
          <w:sz w:val="14"/>
          <w:szCs w:val="14"/>
          <w:color w:val="auto"/>
        </w:rPr>
        <w:t>Agent hereunder and under the other Facility Documents, together with such powers, rights and remedies as are reasonably incidental thereto or (ii) interfere with the Administrative Agent’s exercise of the powers, rights and remedies with respect to the Collateral expressly delegated to the Administrative Agent hereunder and under the</w:t>
      </w:r>
    </w:p>
    <w:p>
      <w:pPr>
        <w:ind w:left="520"/>
        <w:spacing w:after="0"/>
        <w:rPr>
          <w:sz w:val="20"/>
          <w:szCs w:val="20"/>
          <w:color w:val="auto"/>
        </w:rPr>
      </w:pPr>
      <w:r>
        <w:rPr>
          <w:rFonts w:ascii="Times New Roman" w:cs="Times New Roman" w:eastAsia="Times New Roman" w:hAnsi="Times New Roman"/>
          <w:sz w:val="16"/>
          <w:szCs w:val="16"/>
          <w:color w:val="auto"/>
        </w:rPr>
        <w:t>other Facility Documents, together with such powers, rights and remedies as are reasonably incidental thereto.</w:t>
      </w:r>
    </w:p>
    <w:p>
      <w:pPr>
        <w:spacing w:after="0" w:line="125" w:lineRule="exact"/>
        <w:rPr>
          <w:sz w:val="20"/>
          <w:szCs w:val="20"/>
          <w:color w:val="auto"/>
        </w:rPr>
      </w:pPr>
    </w:p>
    <w:p>
      <w:pPr>
        <w:jc w:val="both"/>
        <w:ind w:left="520" w:firstLine="503"/>
        <w:spacing w:after="0" w:line="212" w:lineRule="auto"/>
        <w:tabs>
          <w:tab w:leader="none" w:pos="152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Standard of Conduct</w:t>
      </w:r>
      <w:r>
        <w:rPr>
          <w:rFonts w:ascii="Times New Roman" w:cs="Times New Roman" w:eastAsia="Times New Roman" w:hAnsi="Times New Roman"/>
          <w:sz w:val="16"/>
          <w:szCs w:val="16"/>
          <w:color w:val="auto"/>
        </w:rPr>
        <w:t>. In exercising any of its or their voting rights, rights to direct and consent or any other rights as a Lender hereunder, subject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and conditions of this Agreement, a Lender or Lenders, as the case may be, shall not, except as may be expressly provided herein with respect to any particular matter, have any obligation or duty to any Person or to consider or take into account the 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Lender, the Borrower or any other Person, except for any liability to which such Lender may be subject to the extent that the same results from such Lender’s taking or directing an action, or failing to take or direct an action, in bad faith or in violation of the express terms of this Agreement.</w:t>
      </w:r>
    </w:p>
    <w:p>
      <w:pPr>
        <w:spacing w:after="0" w:line="1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436.</w:t>
      </w:r>
    </w:p>
    <w:p>
      <w:pPr>
        <w:spacing w:after="0" w:line="1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134"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6"/>
          <w:szCs w:val="16"/>
          <w:i w:val="1"/>
          <w:iCs w:val="1"/>
          <w:color w:val="auto"/>
        </w:rPr>
        <w:t xml:space="preserve">Section 436.01 Conditions Precedent to this Agreement. </w:t>
      </w:r>
      <w:r>
        <w:rPr>
          <w:rFonts w:ascii="Times New Roman" w:cs="Times New Roman" w:eastAsia="Times New Roman" w:hAnsi="Times New Roman"/>
          <w:sz w:val="16"/>
          <w:szCs w:val="16"/>
          <w:color w:val="auto"/>
        </w:rPr>
        <w:t>This Agreement shall become effective once the Administrative Agent and the Class B Representative shall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prior to or currently with the making the initial Advance hereunder, the following, each in form and substance reasonably satisfactory to the Administrative Agent and the Required Class B Lenders:</w:t>
      </w:r>
    </w:p>
    <w:p>
      <w:pPr>
        <w:spacing w:after="0" w:line="117" w:lineRule="exact"/>
        <w:rPr>
          <w:sz w:val="20"/>
          <w:szCs w:val="20"/>
          <w:color w:val="auto"/>
        </w:rPr>
      </w:pPr>
    </w:p>
    <w:p>
      <w:pPr>
        <w:ind w:left="1520" w:hanging="497"/>
        <w:spacing w:after="0"/>
        <w:tabs>
          <w:tab w:leader="none" w:pos="15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Facility Documents, duly executed and delivered by the parties thereto, which shall each be in full force and effect;</w:t>
      </w:r>
    </w:p>
    <w:p>
      <w:pPr>
        <w:spacing w:after="0" w:line="14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and complete copies of the Constituent Documents of the Borrower and Navan as in effect on the Closing Date;</w:t>
      </w:r>
    </w:p>
    <w:p>
      <w:pPr>
        <w:spacing w:after="0" w:line="144" w:lineRule="exact"/>
        <w:rPr>
          <w:rFonts w:ascii="Times New Roman" w:cs="Times New Roman" w:eastAsia="Times New Roman" w:hAnsi="Times New Roman"/>
          <w:sz w:val="16"/>
          <w:szCs w:val="16"/>
          <w:color w:val="auto"/>
        </w:rPr>
      </w:pPr>
    </w:p>
    <w:p>
      <w:pPr>
        <w:ind w:left="520" w:firstLine="503"/>
        <w:spacing w:after="0" w:line="229" w:lineRule="auto"/>
        <w:tabs>
          <w:tab w:leader="none" w:pos="153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126" w:lineRule="exact"/>
        <w:rPr>
          <w:rFonts w:ascii="Times New Roman" w:cs="Times New Roman" w:eastAsia="Times New Roman" w:hAnsi="Times New Roman"/>
          <w:sz w:val="16"/>
          <w:szCs w:val="16"/>
          <w:color w:val="auto"/>
        </w:rPr>
      </w:pPr>
    </w:p>
    <w:p>
      <w:pPr>
        <w:jc w:val="both"/>
        <w:ind w:left="520" w:firstLine="503"/>
        <w:spacing w:after="0" w:line="216" w:lineRule="auto"/>
        <w:tabs>
          <w:tab w:leader="none" w:pos="152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 Responsible Officer of the Borrower certifying (i) as to the Borrower’s Constituent Documents, (ii) as to resolutions or other action required under its Constituent Documents to approve the entering into by the Borrower of this Agreement and the other Facility Documents to which it is a party and the transactions contemplated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w:t>
      </w:r>
    </w:p>
    <w:p>
      <w:pPr>
        <w:sectPr>
          <w:pgSz w:w="11900" w:h="16838" w:orient="portrait"/>
          <w:cols w:equalWidth="0" w:num="1">
            <w:col w:w="11280"/>
          </w:cols>
          <w:pgMar w:left="300" w:top="1129" w:right="319" w:bottom="1440" w:gutter="0" w:footer="0" w:header="0"/>
        </w:sectPr>
      </w:pPr>
    </w:p>
    <w:bookmarkStart w:id="264" w:name="page265"/>
    <w:bookmarkEnd w:id="264"/>
    <w:p>
      <w:pPr>
        <w:ind w:left="520"/>
        <w:spacing w:after="0"/>
        <w:rPr>
          <w:sz w:val="20"/>
          <w:szCs w:val="20"/>
          <w:color w:val="auto"/>
        </w:rPr>
      </w:pPr>
      <w:r>
        <w:rPr>
          <w:rFonts w:ascii="Times New Roman" w:cs="Times New Roman" w:eastAsia="Times New Roman" w:hAnsi="Times New Roman"/>
          <w:sz w:val="16"/>
          <w:szCs w:val="16"/>
          <w:color w:val="auto"/>
        </w:rPr>
        <w:t>date) (except for representations and warranties already qualified by materiality or Material Adverse Effect, which shall be true and correct in all respects), (iv) that no</w:t>
      </w:r>
    </w:p>
    <w:p>
      <w:pPr>
        <w:ind w:left="520"/>
        <w:spacing w:after="0" w:line="217" w:lineRule="auto"/>
        <w:rPr>
          <w:sz w:val="20"/>
          <w:szCs w:val="20"/>
          <w:color w:val="auto"/>
        </w:rPr>
      </w:pPr>
      <w:r>
        <w:rPr>
          <w:rFonts w:ascii="Times New Roman" w:cs="Times New Roman" w:eastAsia="Times New Roman" w:hAnsi="Times New Roman"/>
          <w:sz w:val="16"/>
          <w:szCs w:val="16"/>
          <w:color w:val="auto"/>
        </w:rPr>
        <w:t>Unmatured Event of Default, Event of Default or Accelerated Amortization Event has occurred and is continuing, and (v) as to the incumbency and specimen signature of each of its Responsible Officers authorized to execute the Facility Documents to which it is a party;</w:t>
      </w:r>
    </w:p>
    <w:p>
      <w:pPr>
        <w:spacing w:after="0" w:line="127" w:lineRule="exact"/>
        <w:rPr>
          <w:sz w:val="20"/>
          <w:szCs w:val="20"/>
          <w:color w:val="auto"/>
        </w:rPr>
      </w:pPr>
    </w:p>
    <w:p>
      <w:pPr>
        <w:jc w:val="both"/>
        <w:ind w:left="520" w:firstLine="503"/>
        <w:spacing w:after="0" w:line="211" w:lineRule="auto"/>
        <w:tabs>
          <w:tab w:leader="none" w:pos="153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 Responsible Officer of Navan certifying (i) as to its Constituent Documents, (ii) as to its resolutions or other action of its board of directors or members approving the Facility Documents to which it is a party and the transactions contemplated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(except for representations and warranties already qualified by materiality or Material Adverse Effect, which shall be true and correct in all respects), (iv) that no Limited Guaranty Event of Default or Servicer Event of Default has occurred and is continuing and (v) as to the incumbency and specimen signature of each of its Responsible Officers authorized to execute the Facility Documents to which it is a party;</w:t>
      </w:r>
    </w:p>
    <w:p>
      <w:pPr>
        <w:spacing w:after="0" w:line="130" w:lineRule="exact"/>
        <w:rPr>
          <w:rFonts w:ascii="Times New Roman" w:cs="Times New Roman" w:eastAsia="Times New Roman" w:hAnsi="Times New Roman"/>
          <w:sz w:val="16"/>
          <w:szCs w:val="16"/>
          <w:color w:val="auto"/>
        </w:rPr>
      </w:pPr>
    </w:p>
    <w:p>
      <w:pPr>
        <w:ind w:left="520" w:firstLine="503"/>
        <w:spacing w:after="0" w:line="229" w:lineRule="auto"/>
        <w:tabs>
          <w:tab w:leader="none" w:pos="153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 financing statements, to be duly filed under the UCC in all jurisdictions that the Administrative Agent deems necessary or desirable in order to perfect the Liens on the Collateral contemplated by the Facility Documents;</w:t>
      </w:r>
    </w:p>
    <w:p>
      <w:pPr>
        <w:spacing w:after="0" w:line="126" w:lineRule="exact"/>
        <w:rPr>
          <w:rFonts w:ascii="Times New Roman" w:cs="Times New Roman" w:eastAsia="Times New Roman" w:hAnsi="Times New Roman"/>
          <w:sz w:val="16"/>
          <w:szCs w:val="16"/>
          <w:color w:val="auto"/>
        </w:rPr>
      </w:pPr>
    </w:p>
    <w:p>
      <w:pPr>
        <w:ind w:left="520" w:firstLine="503"/>
        <w:spacing w:after="0" w:line="235" w:lineRule="auto"/>
        <w:tabs>
          <w:tab w:leader="none" w:pos="15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copies of proper financing statements and any other documents, if any, necessary to release all security interests and other rights of any Person in the Collateral previously granted by the Borrower or the Seller;</w:t>
      </w:r>
    </w:p>
    <w:p>
      <w:pPr>
        <w:spacing w:after="0" w:line="117"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opinions (or in the case of the Volcker Rule, a legal memorandum), in each case addressed to the Administrative Agent, the Lenders and their successors and assignees, of Paul Hastings LLP, as counsel to the Borrower and Navan (including in its capacities as the Seller and the Servicer), covering such matters as the Administrative Agent, the Class B Representative and its respective counsel shall reasonably request, including but not limited to enforceability, authority, no conflicts, Investment Company Act, substantive consolidation, true sale matters, UCC matters and “ownership interest” for purposes of the Volcker Rule;</w:t>
      </w:r>
    </w:p>
    <w:p>
      <w:pPr>
        <w:spacing w:after="0" w:line="127" w:lineRule="exact"/>
        <w:rPr>
          <w:rFonts w:ascii="Times New Roman" w:cs="Times New Roman" w:eastAsia="Times New Roman" w:hAnsi="Times New Roman"/>
          <w:sz w:val="16"/>
          <w:szCs w:val="16"/>
          <w:color w:val="auto"/>
        </w:rPr>
      </w:pPr>
    </w:p>
    <w:p>
      <w:pPr>
        <w:ind w:left="1540" w:hanging="517"/>
        <w:spacing w:after="0"/>
        <w:tabs>
          <w:tab w:leader="none" w:pos="15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reasonably satisfactory to it that the Collection Accounts have been established;</w:t>
      </w:r>
    </w:p>
    <w:p>
      <w:pPr>
        <w:spacing w:after="0" w:line="134" w:lineRule="exact"/>
        <w:rPr>
          <w:rFonts w:ascii="Times New Roman" w:cs="Times New Roman" w:eastAsia="Times New Roman" w:hAnsi="Times New Roman"/>
          <w:sz w:val="16"/>
          <w:szCs w:val="16"/>
          <w:color w:val="auto"/>
        </w:rPr>
      </w:pPr>
    </w:p>
    <w:p>
      <w:pPr>
        <w:jc w:val="both"/>
        <w:ind w:left="520" w:firstLine="503"/>
        <w:spacing w:after="0" w:line="226" w:lineRule="auto"/>
        <w:tabs>
          <w:tab w:leader="none" w:pos="153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(i) all fees to be received by the Administrative Agent and each Lender on or prior to the Closing Date pursuant to the Class A Fee Letter and the Class B Fee Letter or otherwise have been received; and (ii) the accrued reasonable and documented fees and expenses of counsel to (A) the Administrative Agent and the Class A Lenders and (B) the Class B Lenders, in each case, in connection with the transactions contemplated hereby shall have been paid by the Borrower;</w:t>
      </w:r>
    </w:p>
    <w:p>
      <w:pPr>
        <w:spacing w:after="0" w:line="11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standing certificates (or the federal or local law equivalent) with respect to each of the jurisdictions where the Borrower and Navan are organized or</w:t>
      </w:r>
    </w:p>
    <w:p>
      <w:pPr>
        <w:spacing w:after="0" w:line="1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chartered;</w:t>
      </w:r>
    </w:p>
    <w:p>
      <w:pPr>
        <w:spacing w:after="0" w:line="126" w:lineRule="exact"/>
        <w:rPr>
          <w:rFonts w:ascii="Times New Roman" w:cs="Times New Roman" w:eastAsia="Times New Roman" w:hAnsi="Times New Roman"/>
          <w:sz w:val="14"/>
          <w:szCs w:val="14"/>
          <w:color w:val="auto"/>
        </w:rPr>
      </w:pPr>
    </w:p>
    <w:p>
      <w:pPr>
        <w:ind w:left="520" w:firstLine="503"/>
        <w:spacing w:after="0" w:line="229" w:lineRule="auto"/>
        <w:tabs>
          <w:tab w:leader="none" w:pos="153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reasonably satisfactory to the Administrative Agent and each Lender that all due diligence and credit approval processes required to be completed prior to the Closing Date have been completed (including a duly executed Beneficial Ownership Certification); and</w:t>
      </w:r>
    </w:p>
    <w:p>
      <w:pPr>
        <w:spacing w:after="0" w:line="12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opinions, instruments, certificates and documents as the Administrative Agent or any Lender may reasonably request.</w:t>
      </w:r>
    </w:p>
    <w:p>
      <w:pPr>
        <w:spacing w:after="0" w:line="143"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6"/>
          <w:szCs w:val="16"/>
          <w:i w:val="1"/>
          <w:iCs w:val="1"/>
          <w:color w:val="auto"/>
        </w:rPr>
        <w:t>Section 436.02 Conditions Precedent to Each Borrowing</w:t>
      </w:r>
      <w:r>
        <w:rPr>
          <w:rFonts w:ascii="Times New Roman" w:cs="Times New Roman" w:eastAsia="Times New Roman" w:hAnsi="Times New Roman"/>
          <w:sz w:val="16"/>
          <w:szCs w:val="16"/>
          <w:color w:val="auto"/>
        </w:rPr>
        <w:t>. Each Advance to be made hereunder (including the initial Advance), if any, on each Borrowing Date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the fulfillment of the following conditions:</w:t>
      </w:r>
    </w:p>
    <w:p>
      <w:pPr>
        <w:sectPr>
          <w:pgSz w:w="11900" w:h="16838" w:orient="portrait"/>
          <w:cols w:equalWidth="0" w:num="1">
            <w:col w:w="11280"/>
          </w:cols>
          <w:pgMar w:left="300" w:top="1122" w:right="319" w:bottom="1440" w:gutter="0" w:footer="0" w:header="0"/>
        </w:sectPr>
      </w:pPr>
    </w:p>
    <w:bookmarkStart w:id="265" w:name="page266"/>
    <w:bookmarkEnd w:id="265"/>
    <w:p>
      <w:pPr>
        <w:ind w:left="-503" w:firstLine="503"/>
        <w:spacing w:after="0" w:line="235" w:lineRule="auto"/>
        <w:tabs>
          <w:tab w:leader="none" w:pos="50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initial Advance hereunder, the Administrative Agent and the Class B Representative shall have received evidence reasonably satisfactory to it that the Reserve Account has been established;</w:t>
      </w:r>
    </w:p>
    <w:p>
      <w:pPr>
        <w:spacing w:after="0" w:line="117" w:lineRule="exact"/>
        <w:rPr>
          <w:rFonts w:ascii="Times New Roman" w:cs="Times New Roman" w:eastAsia="Times New Roman" w:hAnsi="Times New Roman"/>
          <w:sz w:val="16"/>
          <w:szCs w:val="16"/>
          <w:color w:val="auto"/>
        </w:rPr>
      </w:pPr>
    </w:p>
    <w:p>
      <w:pPr>
        <w:ind w:left="-503" w:firstLine="503"/>
        <w:spacing w:after="0" w:line="235" w:lineRule="auto"/>
        <w:tabs>
          <w:tab w:leader="none" w:pos="50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and the Class B Representative shall have received a Notice of Borrowing with respect to such Advance (including a Borrowing Base Certificate attached thereto, all duly completed) delivered in accordance with Section 2.02;</w:t>
      </w:r>
    </w:p>
    <w:p>
      <w:pPr>
        <w:spacing w:after="0" w:line="127" w:lineRule="exact"/>
        <w:rPr>
          <w:rFonts w:ascii="Times New Roman" w:cs="Times New Roman" w:eastAsia="Times New Roman" w:hAnsi="Times New Roman"/>
          <w:sz w:val="16"/>
          <w:szCs w:val="16"/>
          <w:color w:val="auto"/>
        </w:rPr>
      </w:pPr>
    </w:p>
    <w:p>
      <w:pPr>
        <w:ind w:left="-503" w:firstLine="503"/>
        <w:spacing w:after="0" w:line="229" w:lineRule="auto"/>
        <w:tabs>
          <w:tab w:leader="none" w:pos="50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the making of such Advance on the applicable Borrowing Date, no Class A Borrowing Base Deficiency or Class B Borrowing Base Deficiency shall exist, as demonstrated in the calculations attached to the applicable Notice of Borrowing;</w:t>
      </w:r>
    </w:p>
    <w:p>
      <w:pPr>
        <w:spacing w:after="0" w:line="126" w:lineRule="exact"/>
        <w:rPr>
          <w:rFonts w:ascii="Times New Roman" w:cs="Times New Roman" w:eastAsia="Times New Roman" w:hAnsi="Times New Roman"/>
          <w:sz w:val="16"/>
          <w:szCs w:val="16"/>
          <w:color w:val="auto"/>
        </w:rPr>
      </w:pPr>
    </w:p>
    <w:p>
      <w:pPr>
        <w:jc w:val="both"/>
        <w:ind w:left="-503" w:firstLine="503"/>
        <w:spacing w:after="0" w:line="218" w:lineRule="auto"/>
        <w:tabs>
          <w:tab w:leader="none" w:pos="50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127" w:lineRule="exact"/>
        <w:rPr>
          <w:rFonts w:ascii="Times New Roman" w:cs="Times New Roman" w:eastAsia="Times New Roman" w:hAnsi="Times New Roman"/>
          <w:sz w:val="16"/>
          <w:szCs w:val="16"/>
          <w:color w:val="auto"/>
        </w:rPr>
      </w:pPr>
    </w:p>
    <w:p>
      <w:pPr>
        <w:jc w:val="both"/>
        <w:ind w:left="-503" w:firstLine="503"/>
        <w:spacing w:after="0" w:line="221" w:lineRule="auto"/>
        <w:tabs>
          <w:tab w:leader="none" w:pos="50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Unmatured Accelerated Amortization Event, Unmatured Event of Default, Unmatured Limited Guaranty Event of Default, Unmatured Servicer Event of Default, Accelerated Amortization Event, Event of Default, Limited Guaranty Event of Default or Servicer Event of Default shall have occurred and be continuing at the time of the making of such Advance or shall result upon the making of such Advance;</w:t>
      </w:r>
    </w:p>
    <w:p>
      <w:pPr>
        <w:spacing w:after="0" w:line="128" w:lineRule="exact"/>
        <w:rPr>
          <w:rFonts w:ascii="Times New Roman" w:cs="Times New Roman" w:eastAsia="Times New Roman" w:hAnsi="Times New Roman"/>
          <w:sz w:val="16"/>
          <w:szCs w:val="16"/>
          <w:color w:val="auto"/>
        </w:rPr>
      </w:pPr>
    </w:p>
    <w:p>
      <w:pPr>
        <w:jc w:val="both"/>
        <w:ind w:left="-503" w:firstLine="503"/>
        <w:spacing w:after="0" w:line="212" w:lineRule="auto"/>
        <w:tabs>
          <w:tab w:leader="none" w:pos="51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terms and conditions of the Receivables Purchase Agreement required to be satisfied in connection with the assignment of each Receivable being pledged hereunder on such Borrowing Date (and the Receivable and Related Documents related thereto), including the perfection of the Borrower’s interests therein, shall have been satisfied in full, and all filings (including UCC filings) required to be made by any Person and all actions required to be taken or performed by any Person in any jurisdiction to give the Administrative Agent, for the benefit of the Secured Parties, a first priority perfected security interest in all of the Borrower’s right, title and interest in the related Receivables all payments from related Obligors, the Related Documents and all rights of the Borrower under the Receivables Purchase Agreement, excluding any Collateral in which a security interest cannot be perfected under the UCC, shall have been made, taken or performed;</w:t>
      </w:r>
    </w:p>
    <w:p>
      <w:pPr>
        <w:spacing w:after="0" w:line="117" w:lineRule="exact"/>
        <w:rPr>
          <w:rFonts w:ascii="Times New Roman" w:cs="Times New Roman" w:eastAsia="Times New Roman" w:hAnsi="Times New Roman"/>
          <w:sz w:val="16"/>
          <w:szCs w:val="16"/>
          <w:color w:val="auto"/>
        </w:rPr>
      </w:pPr>
    </w:p>
    <w:p>
      <w:pPr>
        <w:jc w:val="both"/>
        <w:ind w:left="-503" w:firstLine="503"/>
        <w:spacing w:after="0" w:line="218" w:lineRule="auto"/>
        <w:tabs>
          <w:tab w:leader="none" w:pos="50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have taken all steps necessary under all Applicable Law in order to cause to exist in favor of the Administrative Agent, for the benefit of the Secured Parties, a valid, subsisting and enforceable first priority perfected security interest in the Borrower’s right, title and interest in the Collateral related to each Receivable being pledged hereunder on such Borrowing Date, including receipt by the Administrative Agent of evidence reasonably satisfactory to the Administrative Agent that all Liens (except for Permitted Liens) have been released on such Collateral;</w:t>
      </w:r>
    </w:p>
    <w:p>
      <w:pPr>
        <w:spacing w:after="0" w:line="127" w:lineRule="exact"/>
        <w:rPr>
          <w:rFonts w:ascii="Times New Roman" w:cs="Times New Roman" w:eastAsia="Times New Roman" w:hAnsi="Times New Roman"/>
          <w:sz w:val="16"/>
          <w:szCs w:val="16"/>
          <w:color w:val="auto"/>
        </w:rPr>
      </w:pPr>
    </w:p>
    <w:p>
      <w:pPr>
        <w:ind w:left="-503" w:firstLine="503"/>
        <w:spacing w:after="0" w:line="235" w:lineRule="auto"/>
        <w:tabs>
          <w:tab w:leader="none" w:pos="50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Administrative Agent shall have waived such condition, no Cross-Default Cure Period shall have occurred and be continuing at the time of the making of such Advance;</w:t>
      </w:r>
    </w:p>
    <w:p>
      <w:pPr>
        <w:spacing w:after="0" w:line="117" w:lineRule="exact"/>
        <w:rPr>
          <w:rFonts w:ascii="Times New Roman" w:cs="Times New Roman" w:eastAsia="Times New Roman" w:hAnsi="Times New Roman"/>
          <w:sz w:val="16"/>
          <w:szCs w:val="16"/>
          <w:color w:val="auto"/>
        </w:rPr>
      </w:pPr>
    </w:p>
    <w:p>
      <w:pPr>
        <w:ind w:left="-503" w:firstLine="503"/>
        <w:spacing w:after="0" w:line="235" w:lineRule="auto"/>
        <w:tabs>
          <w:tab w:leader="none" w:pos="51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Adverse Effect with respect to the Borrower or Navan shall have occurred and be continuing at the time of the making of such Advance or shall result upon the making of such Advance;</w:t>
      </w:r>
    </w:p>
    <w:p>
      <w:pPr>
        <w:spacing w:after="0" w:line="127" w:lineRule="exact"/>
        <w:rPr>
          <w:rFonts w:ascii="Times New Roman" w:cs="Times New Roman" w:eastAsia="Times New Roman" w:hAnsi="Times New Roman"/>
          <w:sz w:val="16"/>
          <w:szCs w:val="16"/>
          <w:color w:val="auto"/>
        </w:rPr>
      </w:pPr>
    </w:p>
    <w:p>
      <w:pPr>
        <w:ind w:left="517" w:hanging="517"/>
        <w:spacing w:after="0"/>
        <w:tabs>
          <w:tab w:leader="none" w:pos="51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Reinvestment Period shall be in effect;</w:t>
      </w:r>
    </w:p>
    <w:p>
      <w:pPr>
        <w:spacing w:after="0" w:line="134" w:lineRule="exact"/>
        <w:rPr>
          <w:rFonts w:ascii="Times New Roman" w:cs="Times New Roman" w:eastAsia="Times New Roman" w:hAnsi="Times New Roman"/>
          <w:sz w:val="16"/>
          <w:szCs w:val="16"/>
          <w:color w:val="auto"/>
        </w:rPr>
      </w:pPr>
    </w:p>
    <w:p>
      <w:pPr>
        <w:ind w:left="497" w:hanging="497"/>
        <w:spacing w:after="0"/>
        <w:tabs>
          <w:tab w:leader="none" w:pos="49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Loan Principal Balance shall not exceed the Committed Amount immediately after giving effect to such Advance;</w:t>
      </w:r>
    </w:p>
    <w:p>
      <w:pPr>
        <w:sectPr>
          <w:pgSz w:w="11900" w:h="16838" w:orient="portrait"/>
          <w:cols w:equalWidth="0" w:num="1">
            <w:col w:w="10257"/>
          </w:cols>
          <w:pgMar w:left="1323" w:top="1129" w:right="319" w:bottom="1440" w:gutter="0" w:footer="0" w:header="0"/>
        </w:sectPr>
      </w:pPr>
    </w:p>
    <w:bookmarkStart w:id="266" w:name="page267"/>
    <w:bookmarkEnd w:id="266"/>
    <w:p>
      <w:pPr>
        <w:ind w:left="1540" w:hanging="517"/>
        <w:spacing w:after="0"/>
        <w:tabs>
          <w:tab w:leader="none" w:pos="1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Aggregate Loan Principal Balance shall not exceed the Class A Committed Amount immediately after giving effect to the Class A Advance;</w:t>
      </w:r>
    </w:p>
    <w:p>
      <w:pPr>
        <w:spacing w:after="0" w:line="167"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B Aggregate Loan Principal Balance shall not exceed the Class B Committed Amount immediately after giving effect to the Class B Advance;</w:t>
      </w:r>
    </w:p>
    <w:p>
      <w:pPr>
        <w:spacing w:after="0" w:line="134" w:lineRule="exact"/>
        <w:rPr>
          <w:rFonts w:ascii="Times New Roman" w:cs="Times New Roman" w:eastAsia="Times New Roman" w:hAnsi="Times New Roman"/>
          <w:sz w:val="16"/>
          <w:szCs w:val="16"/>
          <w:color w:val="auto"/>
        </w:rPr>
      </w:pPr>
    </w:p>
    <w:p>
      <w:pPr>
        <w:ind w:left="520" w:firstLine="503"/>
        <w:spacing w:after="0" w:line="235" w:lineRule="auto"/>
        <w:tabs>
          <w:tab w:leader="none" w:pos="152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Reserve Account Trigger Event has occurred as of the most recent Payment Date, the applicable Reserve Account Required Deposit Amount (calculated as of the immediately preceding Payment Date) is on deposit in the Reserve Account; and</w:t>
      </w:r>
    </w:p>
    <w:p>
      <w:pPr>
        <w:spacing w:after="0" w:line="127" w:lineRule="exact"/>
        <w:rPr>
          <w:rFonts w:ascii="Times New Roman" w:cs="Times New Roman" w:eastAsia="Times New Roman" w:hAnsi="Times New Roman"/>
          <w:sz w:val="16"/>
          <w:szCs w:val="16"/>
          <w:color w:val="auto"/>
        </w:rPr>
      </w:pPr>
    </w:p>
    <w:p>
      <w:pPr>
        <w:ind w:left="520" w:firstLine="503"/>
        <w:spacing w:after="0" w:line="229" w:lineRule="auto"/>
        <w:tabs>
          <w:tab w:leader="none" w:pos="152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Insolvency Event with respect to an Originator or, if a Program Provider Agreement has not been terminated and remains in effect, the related Program Provider, shall have occurred and be continuing at the time of the making of such Advance or shall result upon the making of such Advance.</w:t>
      </w:r>
    </w:p>
    <w:p>
      <w:pPr>
        <w:spacing w:after="0" w:line="1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437.</w:t>
      </w:r>
    </w:p>
    <w:p>
      <w:pPr>
        <w:spacing w:after="0" w:line="1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45"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Section 437.01 Representations and Warranties of the Borrower. </w:t>
      </w:r>
      <w:r>
        <w:rPr>
          <w:rFonts w:ascii="Times New Roman" w:cs="Times New Roman" w:eastAsia="Times New Roman" w:hAnsi="Times New Roman"/>
          <w:sz w:val="16"/>
          <w:szCs w:val="16"/>
          <w:color w:val="auto"/>
        </w:rPr>
        <w:t>The Borrower represents and warrants to each of the Secured Parties on and as of each Measurement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 respect of clause (i) below, each date such information is provided by or on behalf of it), as follows:</w:t>
      </w:r>
    </w:p>
    <w:p>
      <w:pPr>
        <w:spacing w:after="0" w:line="114" w:lineRule="exact"/>
        <w:rPr>
          <w:sz w:val="20"/>
          <w:szCs w:val="20"/>
          <w:color w:val="auto"/>
        </w:rPr>
      </w:pPr>
    </w:p>
    <w:p>
      <w:pPr>
        <w:jc w:val="both"/>
        <w:ind w:left="520" w:firstLine="503"/>
        <w:spacing w:after="0" w:line="227" w:lineRule="auto"/>
        <w:tabs>
          <w:tab w:leader="none" w:pos="153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Organization</w:t>
      </w:r>
      <w:r>
        <w:rPr>
          <w:rFonts w:ascii="Times New Roman" w:cs="Times New Roman" w:eastAsia="Times New Roman" w:hAnsi="Times New Roman"/>
          <w:sz w:val="16"/>
          <w:szCs w:val="16"/>
          <w:color w:val="auto"/>
        </w:rPr>
        <w:t>. The Borrower is a limited liability company duly organized and validly existing under the laws of the State of Delaware, with full power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authority to own and operate its assets and properties, conduct the business in which it is now engaged and to execute and deliver and perform its obligations under this Agreement and the other Facility Documents to which it is a party.</w:t>
      </w:r>
    </w:p>
    <w:p>
      <w:pPr>
        <w:spacing w:after="0" w:line="114" w:lineRule="exact"/>
        <w:rPr>
          <w:rFonts w:ascii="Times New Roman" w:cs="Times New Roman" w:eastAsia="Times New Roman" w:hAnsi="Times New Roman"/>
          <w:sz w:val="16"/>
          <w:szCs w:val="16"/>
          <w:color w:val="auto"/>
        </w:rPr>
      </w:pPr>
    </w:p>
    <w:p>
      <w:pPr>
        <w:jc w:val="both"/>
        <w:ind w:left="520" w:firstLine="503"/>
        <w:spacing w:after="0" w:line="227" w:lineRule="auto"/>
        <w:tabs>
          <w:tab w:leader="none" w:pos="152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Qualification and Good Standing</w:t>
      </w:r>
      <w:r>
        <w:rPr>
          <w:rFonts w:ascii="Times New Roman" w:cs="Times New Roman" w:eastAsia="Times New Roman" w:hAnsi="Times New Roman"/>
          <w:sz w:val="16"/>
          <w:szCs w:val="16"/>
          <w:color w:val="auto"/>
        </w:rPr>
        <w:t>. The Borrower is in good standing in the State of Delaware. The Borrower is duly qualified to do business and,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w:t>
      </w:r>
    </w:p>
    <w:p>
      <w:pPr>
        <w:spacing w:after="0" w:line="114" w:lineRule="exact"/>
        <w:rPr>
          <w:rFonts w:ascii="Times New Roman" w:cs="Times New Roman" w:eastAsia="Times New Roman" w:hAnsi="Times New Roman"/>
          <w:sz w:val="16"/>
          <w:szCs w:val="16"/>
          <w:color w:val="auto"/>
        </w:rPr>
      </w:pPr>
    </w:p>
    <w:p>
      <w:pPr>
        <w:jc w:val="both"/>
        <w:ind w:left="520" w:firstLine="503"/>
        <w:spacing w:after="0" w:line="212" w:lineRule="auto"/>
        <w:tabs>
          <w:tab w:leader="none" w:pos="153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Authorization; Execution and Delivery; Legal, Valid and Binding; Enforceability</w:t>
      </w:r>
      <w:r>
        <w:rPr>
          <w:rFonts w:ascii="Times New Roman" w:cs="Times New Roman" w:eastAsia="Times New Roman" w:hAnsi="Times New Roman"/>
          <w:sz w:val="16"/>
          <w:szCs w:val="16"/>
          <w:color w:val="auto"/>
        </w:rPr>
        <w:t>. The execution and delivery by the Borrower of, and the performance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(to the extent not related to inequitable conduct of the Borrower), regardless of whether considered in a proceeding in equity or at law.</w:t>
      </w:r>
    </w:p>
    <w:p>
      <w:pPr>
        <w:spacing w:after="0" w:line="128" w:lineRule="exact"/>
        <w:rPr>
          <w:rFonts w:ascii="Times New Roman" w:cs="Times New Roman" w:eastAsia="Times New Roman" w:hAnsi="Times New Roman"/>
          <w:sz w:val="16"/>
          <w:szCs w:val="16"/>
          <w:color w:val="auto"/>
        </w:rPr>
      </w:pPr>
    </w:p>
    <w:p>
      <w:pPr>
        <w:jc w:val="both"/>
        <w:ind w:left="520" w:firstLine="503"/>
        <w:spacing w:after="0" w:line="242" w:lineRule="auto"/>
        <w:tabs>
          <w:tab w:leader="none" w:pos="1529"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Non Contravention</w:t>
      </w:r>
      <w:r>
        <w:rPr>
          <w:rFonts w:ascii="Times New Roman" w:cs="Times New Roman" w:eastAsia="Times New Roman" w:hAnsi="Times New Roman"/>
          <w:sz w:val="14"/>
          <w:szCs w:val="14"/>
          <w:color w:val="auto"/>
        </w:rPr>
        <w:t>. None of the execution and delivery by the Borrower of this Agreement or the other Facility Documents to which it is a party,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Borrowings or the pledge of the Collateral hereunder, the consummation of the transactions herein or therein contemplated, or compliance by it with the terms, conditions and provisions hereof or thereof, will (i) conflict with, or result in a breach or violation of, or constitute (with or without notice of lapse of time or both) a default under its Constituent Documents, (ii) conflict with or contravene (A) any Applicable Law in any material respect, (B) any indenture, agreement or other contractual restriction binding on or affecting it or any of its assets, including any Related Documents,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w:t>
      </w:r>
    </w:p>
    <w:p>
      <w:pPr>
        <w:sectPr>
          <w:pgSz w:w="11900" w:h="16838" w:orient="portrait"/>
          <w:cols w:equalWidth="0" w:num="1">
            <w:col w:w="11280"/>
          </w:cols>
          <w:pgMar w:left="300" w:top="1129"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color w:val="auto"/>
        </w:rPr>
        <w:t>permit any such acceleration in, any contractual obligation or any agreement or document to which it is a party or by which it or any of its assets are bound (or to which any</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such obligation, agreement or document relates). Without limiting any restrictions or other covenants hereunder, the Borrower is not in default under any such indenture, agreement or other contractual restriction binding on or affecting it or any of its assets, including any Related Document, with respect to which such default, either</w:t>
      </w:r>
    </w:p>
    <w:p>
      <w:pPr>
        <w:spacing w:after="0" w:line="237" w:lineRule="auto"/>
        <w:rPr>
          <w:sz w:val="20"/>
          <w:szCs w:val="20"/>
          <w:color w:val="auto"/>
        </w:rPr>
      </w:pPr>
      <w:r>
        <w:rPr>
          <w:rFonts w:ascii="Times New Roman" w:cs="Times New Roman" w:eastAsia="Times New Roman" w:hAnsi="Times New Roman"/>
          <w:sz w:val="14"/>
          <w:szCs w:val="14"/>
          <w:color w:val="auto"/>
        </w:rPr>
        <w:t>individually or in the aggregate with other defaults, would reasonably be expected to have a Material Adverse Effect on the Borrower. The Borrower is not subject to any</w:t>
      </w:r>
    </w:p>
    <w:p>
      <w:pPr>
        <w:spacing w:after="0" w:line="1"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proceeding, action, litigation or investigation pending, or to the knowledge of such Person, overtly threatened in writing against or affecting it or its assets, before any Governmental Authority (y) seeking to prevent the consummation or performance of any of the transactions contemplated by this Agreement and the other Facility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Documents or (z) that could result in a Material Adverse Effect on the Borrower.</w:t>
      </w:r>
    </w:p>
    <w:p>
      <w:pPr>
        <w:spacing w:after="0" w:line="125" w:lineRule="exact"/>
        <w:rPr>
          <w:sz w:val="20"/>
          <w:szCs w:val="20"/>
          <w:color w:val="auto"/>
        </w:rPr>
      </w:pPr>
    </w:p>
    <w:p>
      <w:pPr>
        <w:jc w:val="both"/>
        <w:ind w:firstLine="503"/>
        <w:spacing w:after="0" w:line="242" w:lineRule="auto"/>
        <w:tabs>
          <w:tab w:leader="none" w:pos="101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Governmental Authorizations; Private Authorizations; Governmental Filings</w:t>
      </w:r>
      <w:r>
        <w:rPr>
          <w:rFonts w:ascii="Times New Roman" w:cs="Times New Roman" w:eastAsia="Times New Roman" w:hAnsi="Times New Roman"/>
          <w:sz w:val="14"/>
          <w:szCs w:val="14"/>
          <w:color w:val="auto"/>
        </w:rPr>
        <w:t>. The Borrower has obtained or applied for, maintained and kept in full force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effect all Governmental Authorizations and Private Authorizations which are necessary for it to carry out its business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applied for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15" w:lineRule="exact"/>
        <w:rPr>
          <w:rFonts w:ascii="Times New Roman" w:cs="Times New Roman" w:eastAsia="Times New Roman" w:hAnsi="Times New Roman"/>
          <w:sz w:val="14"/>
          <w:szCs w:val="14"/>
          <w:color w:val="auto"/>
        </w:rPr>
      </w:pPr>
    </w:p>
    <w:p>
      <w:pPr>
        <w:jc w:val="both"/>
        <w:ind w:firstLine="503"/>
        <w:spacing w:after="0" w:line="209" w:lineRule="auto"/>
        <w:tabs>
          <w:tab w:leader="none" w:pos="101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Agreements, Laws, Etc</w:t>
      </w:r>
      <w:r>
        <w:rPr>
          <w:rFonts w:ascii="Times New Roman" w:cs="Times New Roman" w:eastAsia="Times New Roman" w:hAnsi="Times New Roman"/>
          <w:sz w:val="16"/>
          <w:szCs w:val="16"/>
          <w:color w:val="auto"/>
        </w:rPr>
        <w:t>. The Borrower has duly observed and complied (i) in all material respects with all Applicable Laws relating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conduct of its business and its assets, including, without limitation, all credit, servicing and debt collection laws applicable to the Eligible Receivables owned by it and its activities contemplated by the Facility Documents, (ii) in all material respects with its Constituent Document, (iii) with any judgment, decree, writ, injunction, order, award or other action of any Governmental Authority having or asserting jurisdiction over it or any of its properties, unless a failure to do so could not result in a Material Adverse Effect on the Borrower and (iv) with the terms and provisions of this Agreement and each other Facility Document to which it is a party. The Borrower has preserved and kept in full force and effect its legal existence, rights, privileges, qualifications and franchises. Without limiting the foregoing, (x) to the extent applicable, the Borrower is in compliance in all material respects with the Sanctions Laws, (y) the Borrower has adopted internal controls and procedures designed to ensure its continued compliance with the applicable provisions of the Sanctions Laws and to the extent applicable, will adopt procedures consistent with the PATRIOT Act and implementing regulations, and (z) to the knowledge of the Borrower (based on the implementation of its internal procedures and controls), no direct investor in the Borrower is a Person whose name appears on the “List of Specially Designated Nationals and Blocked Persons” maintained by OFAC.</w:t>
      </w:r>
    </w:p>
    <w:p>
      <w:pPr>
        <w:spacing w:after="0" w:line="127" w:lineRule="exact"/>
        <w:rPr>
          <w:rFonts w:ascii="Times New Roman" w:cs="Times New Roman" w:eastAsia="Times New Roman" w:hAnsi="Times New Roman"/>
          <w:sz w:val="16"/>
          <w:szCs w:val="16"/>
          <w:color w:val="auto"/>
        </w:rPr>
      </w:pPr>
    </w:p>
    <w:p>
      <w:pPr>
        <w:jc w:val="both"/>
        <w:ind w:firstLine="503"/>
        <w:spacing w:after="0" w:line="213" w:lineRule="auto"/>
        <w:tabs>
          <w:tab w:leader="none" w:pos="10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Location and Legal Name</w:t>
      </w:r>
      <w:r>
        <w:rPr>
          <w:rFonts w:ascii="Times New Roman" w:cs="Times New Roman" w:eastAsia="Times New Roman" w:hAnsi="Times New Roman"/>
          <w:sz w:val="16"/>
          <w:szCs w:val="16"/>
          <w:color w:val="auto"/>
        </w:rPr>
        <w:t>. The Borrower’s chief executive office and principal place of business is located in the State of New York, New York County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Borrower maintains its books and records in the State of New York, New York County. The Borrower’s registered office and the jurisdiction of organization of the Borrower is the jurisdiction referred to in Section 4.01(a). The Borrower’s tax identification number is 86-1314713. The Borrower has not changed its name, changed its corporate structure, changed its jurisdiction of organization, changed its chief place of business/chief executive office or used any name other than its exact legal name at any time during the past five years.</w:t>
      </w:r>
    </w:p>
    <w:p>
      <w:pPr>
        <w:spacing w:after="0" w:line="127" w:lineRule="exact"/>
        <w:rPr>
          <w:rFonts w:ascii="Times New Roman" w:cs="Times New Roman" w:eastAsia="Times New Roman" w:hAnsi="Times New Roman"/>
          <w:sz w:val="16"/>
          <w:szCs w:val="16"/>
          <w:color w:val="auto"/>
        </w:rPr>
      </w:pPr>
    </w:p>
    <w:p>
      <w:pPr>
        <w:ind w:firstLine="503"/>
        <w:spacing w:after="0" w:line="237" w:lineRule="auto"/>
        <w:tabs>
          <w:tab w:leader="none" w:pos="10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 Company Act; Volcker Rule</w:t>
      </w:r>
      <w:r>
        <w:rPr>
          <w:rFonts w:ascii="Times New Roman" w:cs="Times New Roman" w:eastAsia="Times New Roman" w:hAnsi="Times New Roman"/>
          <w:sz w:val="16"/>
          <w:szCs w:val="16"/>
          <w:color w:val="auto"/>
        </w:rPr>
        <w:t>. The Borrower is not required to register as an “investment company” or a company controlled by an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within the meaning of the Investment Company Act. The Borrower is not a “covered fund” under Section</w:t>
      </w:r>
    </w:p>
    <w:p>
      <w:pPr>
        <w:sectPr>
          <w:pgSz w:w="11900" w:h="16838" w:orient="portrait"/>
          <w:cols w:equalWidth="0" w:num="1">
            <w:col w:w="10760"/>
          </w:cols>
          <w:pgMar w:left="820" w:top="1128" w:right="319" w:bottom="1440" w:gutter="0" w:footer="0" w:header="0"/>
        </w:sectPr>
      </w:pPr>
    </w:p>
    <w:bookmarkStart w:id="268" w:name="page269"/>
    <w:bookmarkEnd w:id="268"/>
    <w:p>
      <w:pPr>
        <w:spacing w:after="0" w:line="237" w:lineRule="auto"/>
        <w:rPr>
          <w:sz w:val="20"/>
          <w:szCs w:val="20"/>
          <w:color w:val="auto"/>
        </w:rPr>
      </w:pPr>
      <w:r>
        <w:rPr>
          <w:rFonts w:ascii="Times New Roman" w:cs="Times New Roman" w:eastAsia="Times New Roman" w:hAnsi="Times New Roman"/>
          <w:sz w:val="16"/>
          <w:szCs w:val="16"/>
          <w:color w:val="auto"/>
        </w:rPr>
        <w:t>619 of the Dodd Frank Wall Street Reform and Consumer Protection Act (the “</w:t>
      </w:r>
      <w:r>
        <w:rPr>
          <w:rFonts w:ascii="Times New Roman" w:cs="Times New Roman" w:eastAsia="Times New Roman" w:hAnsi="Times New Roman"/>
          <w:sz w:val="16"/>
          <w:szCs w:val="16"/>
          <w:i w:val="1"/>
          <w:iCs w:val="1"/>
          <w:color w:val="auto"/>
        </w:rPr>
        <w:t>Volcker Rule</w:t>
      </w:r>
      <w:r>
        <w:rPr>
          <w:rFonts w:ascii="Times New Roman" w:cs="Times New Roman" w:eastAsia="Times New Roman" w:hAnsi="Times New Roman"/>
          <w:sz w:val="16"/>
          <w:szCs w:val="16"/>
          <w:color w:val="auto"/>
        </w:rPr>
        <w:t>”). In determining that the Borrower is not a covered fund, the Borrower is entitled to the benefit of the exemption provided under Section 3(c)(5) of the Investment Company Act, though other exemptions may be available.</w:t>
      </w:r>
    </w:p>
    <w:p>
      <w:pPr>
        <w:spacing w:after="0" w:line="114" w:lineRule="exact"/>
        <w:rPr>
          <w:sz w:val="20"/>
          <w:szCs w:val="20"/>
          <w:color w:val="auto"/>
        </w:rPr>
      </w:pPr>
    </w:p>
    <w:p>
      <w:pPr>
        <w:jc w:val="both"/>
        <w:ind w:firstLine="503"/>
        <w:spacing w:after="0" w:line="215" w:lineRule="auto"/>
        <w:tabs>
          <w:tab w:leader="none" w:pos="101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Information and Reports</w:t>
      </w:r>
      <w:r>
        <w:rPr>
          <w:rFonts w:ascii="Times New Roman" w:cs="Times New Roman" w:eastAsia="Times New Roman" w:hAnsi="Times New Roman"/>
          <w:sz w:val="16"/>
          <w:szCs w:val="16"/>
          <w:color w:val="auto"/>
        </w:rPr>
        <w:t>. Each Notice of Borrowing, each Monthly Report and all other written information, reports, certificates and statements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projections and forward looking statements) furnished by the Borrower or the Servicer to any Secured Party for purposes of or in connection with this Agreement, the other Facility Documents or the transactions contemplated hereby or thereby are true, complete and correct in all material respects as of the date such information is stated or certified and the Borrower and the Servicer do not, taken as a whole, omit any material fact necessary in order to make the statements contained herein and therein not materially misleading. All projections and forward looking statements furnished by or on behalf of the Borrower were prepared reasonably and in good faith as the date stated herein or as of which they were provided.</w:t>
      </w:r>
    </w:p>
    <w:p>
      <w:pPr>
        <w:spacing w:after="0" w:line="114" w:lineRule="exact"/>
        <w:rPr>
          <w:rFonts w:ascii="Times New Roman" w:cs="Times New Roman" w:eastAsia="Times New Roman" w:hAnsi="Times New Roman"/>
          <w:sz w:val="16"/>
          <w:szCs w:val="16"/>
          <w:color w:val="auto"/>
        </w:rPr>
      </w:pPr>
    </w:p>
    <w:p>
      <w:pPr>
        <w:jc w:val="both"/>
        <w:ind w:firstLine="503"/>
        <w:spacing w:after="0" w:line="227" w:lineRule="auto"/>
        <w:tabs>
          <w:tab w:leader="none" w:pos="101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ERISA</w:t>
      </w:r>
      <w:r>
        <w:rPr>
          <w:rFonts w:ascii="Times New Roman" w:cs="Times New Roman" w:eastAsia="Times New Roman" w:hAnsi="Times New Roman"/>
          <w:sz w:val="16"/>
          <w:szCs w:val="16"/>
          <w:color w:val="auto"/>
        </w:rPr>
        <w:t>. Neither the Borrower nor, except as would not reasonably be expected to constitute a Material Adverse Effect or result in a Lien under ERISA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Code Section 430(k) any member of the ERISA Group has, or during the past six years has had, any liability or obligation with respect to any Plan or Multiemployer Plan (including any actual liability on account of a member of the ERISA Group).</w:t>
      </w:r>
    </w:p>
    <w:p>
      <w:pPr>
        <w:spacing w:after="0" w:line="114" w:lineRule="exact"/>
        <w:rPr>
          <w:rFonts w:ascii="Times New Roman" w:cs="Times New Roman" w:eastAsia="Times New Roman" w:hAnsi="Times New Roman"/>
          <w:sz w:val="16"/>
          <w:szCs w:val="16"/>
          <w:color w:val="auto"/>
        </w:rPr>
      </w:pPr>
    </w:p>
    <w:p>
      <w:pPr>
        <w:jc w:val="both"/>
        <w:ind w:firstLine="503"/>
        <w:spacing w:after="0" w:line="269" w:lineRule="auto"/>
        <w:tabs>
          <w:tab w:leader="none" w:pos="1009"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 The Borrower has filed all Federal income tax returns and all other material tax returns which are required to be filed by it, if any, and has paid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taxes, assessments, fees and other governmental charges levied or imposed upon it or its properties, income or assets otherwise due and payable, except for any taxes which are being contested in good faith by appropriate proceedings and with respect thereto adequate reserves have been established in accordance with GAAP.</w:t>
      </w:r>
    </w:p>
    <w:p>
      <w:pPr>
        <w:spacing w:after="0" w:line="95" w:lineRule="exact"/>
        <w:rPr>
          <w:rFonts w:ascii="Times New Roman" w:cs="Times New Roman" w:eastAsia="Times New Roman" w:hAnsi="Times New Roman"/>
          <w:sz w:val="14"/>
          <w:szCs w:val="14"/>
          <w:color w:val="auto"/>
        </w:rPr>
      </w:pPr>
    </w:p>
    <w:p>
      <w:pPr>
        <w:jc w:val="both"/>
        <w:ind w:firstLine="503"/>
        <w:spacing w:after="0" w:line="218" w:lineRule="auto"/>
        <w:tabs>
          <w:tab w:leader="none" w:pos="101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Status</w:t>
      </w:r>
      <w:r>
        <w:rPr>
          <w:rFonts w:ascii="Times New Roman" w:cs="Times New Roman" w:eastAsia="Times New Roman" w:hAnsi="Times New Roman"/>
          <w:sz w:val="16"/>
          <w:szCs w:val="16"/>
          <w:color w:val="auto"/>
        </w:rPr>
        <w:t>. For U.S. federal income tax purposes (i) the Borrower is classified as a “disregarded entity” for U.S. federal income tax purposes, (ii) neither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nor any record or beneficial owner of the Borrower has made an election under U.S. Treasury Regulation Section 301.7701-3 for the Borrower to be classified as an association taxable as a corporation and the Borrower is not otherwise treated as an association taxable as a corporation and (iii) the Borrower is owned by a single U.S. Person.</w:t>
      </w:r>
    </w:p>
    <w:p>
      <w:pPr>
        <w:spacing w:after="0" w:line="127" w:lineRule="exact"/>
        <w:rPr>
          <w:rFonts w:ascii="Times New Roman" w:cs="Times New Roman" w:eastAsia="Times New Roman" w:hAnsi="Times New Roman"/>
          <w:sz w:val="16"/>
          <w:szCs w:val="16"/>
          <w:color w:val="auto"/>
        </w:rPr>
      </w:pPr>
    </w:p>
    <w:p>
      <w:pPr>
        <w:jc w:val="both"/>
        <w:ind w:firstLine="503"/>
        <w:spacing w:after="0" w:line="209" w:lineRule="auto"/>
        <w:tabs>
          <w:tab w:leader="none" w:pos="101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Collections</w:t>
      </w:r>
      <w:r>
        <w:rPr>
          <w:rFonts w:ascii="Times New Roman" w:cs="Times New Roman" w:eastAsia="Times New Roman" w:hAnsi="Times New Roman"/>
          <w:sz w:val="16"/>
          <w:szCs w:val="16"/>
          <w:color w:val="auto"/>
        </w:rPr>
        <w:t>. The conditions and requirements set forth in Section 5.01(k) have been satisfied from and after the first Borrowing Date. The Borrower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directed the Servicer to (1) pay and deposit (or caused to be paid and deposited) all Collections on the Receivables owned by the Borrower to the applicable Collection Account upon receipt and identification thereof and (2) two (2) Business Days prior to each Payment Date, move or be deemed to move in accordance with the Letter Agreement the Dollar Equivalent of all Collections on the Receivables owned by the Borrower in the English Collection Accounts into the Dollar Collection Account to be applied in accordance with Section 9.01. The correct name and address of the Account Banks, together with the account numbers of the Collection Accounts are listed on Schedule 4 hereto. The Borrower has no other deposit or securities accounts other than the ones listed on Schedule 4 and subject to Liens in favor of the Secured Parties (other than the Funding Account). The Borrower has not assigned or granted an interest in any rights it may have in the Collection Accounts or the Reserve Account to any Person other than the Administrative Agent pursuant to the terms hereof. No Person, other than as contemplated by and subject to this Agreement, has been granted dominion and control of the Collection Accounts or the Reserve Account, or the right to take dominion and control of the Collection Accounts or the Reserve Account at a future time or upon the occurrence of a future event.</w:t>
      </w:r>
    </w:p>
    <w:p>
      <w:pPr>
        <w:spacing w:after="0" w:line="116" w:lineRule="exact"/>
        <w:rPr>
          <w:rFonts w:ascii="Times New Roman" w:cs="Times New Roman" w:eastAsia="Times New Roman" w:hAnsi="Times New Roman"/>
          <w:sz w:val="16"/>
          <w:szCs w:val="16"/>
          <w:color w:val="auto"/>
        </w:rPr>
      </w:pPr>
    </w:p>
    <w:p>
      <w:pPr>
        <w:jc w:val="both"/>
        <w:ind w:firstLine="503"/>
        <w:spacing w:after="0" w:line="227" w:lineRule="auto"/>
        <w:tabs>
          <w:tab w:leader="none" w:pos="100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Plan Assets</w:t>
      </w:r>
      <w:r>
        <w:rPr>
          <w:rFonts w:ascii="Times New Roman" w:cs="Times New Roman" w:eastAsia="Times New Roman" w:hAnsi="Times New Roman"/>
          <w:sz w:val="16"/>
          <w:szCs w:val="16"/>
          <w:color w:val="auto"/>
        </w:rPr>
        <w:t>. The assets of the Borrower are not, and shall not be, treated as “plan assets” for purposes of Section 3(42) of ERISA and the Collateral is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deemed to be “plan assets” for purposes of Section 3(42) of ERISA. The Borrower has not taken, or omitted to take, and shall not take or omit to take, any action which would reasonably be expected to result in any</w:t>
      </w:r>
    </w:p>
    <w:p>
      <w:pPr>
        <w:sectPr>
          <w:pgSz w:w="11900" w:h="16838" w:orient="portrait"/>
          <w:cols w:equalWidth="0" w:num="1">
            <w:col w:w="10760"/>
          </w:cols>
          <w:pgMar w:left="820" w:top="1126" w:right="3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6"/>
          <w:szCs w:val="16"/>
          <w:color w:val="auto"/>
        </w:rPr>
        <w:t>of the Collateral being treated as “plan assets” for purposes of Section 3(42) of ERISA or assuming no Advance is funded with</w:t>
      </w:r>
    </w:p>
    <w:p>
      <w:pPr>
        <w:spacing w:after="0"/>
        <w:rPr>
          <w:sz w:val="20"/>
          <w:szCs w:val="20"/>
          <w:color w:val="auto"/>
        </w:rPr>
      </w:pPr>
      <w:r>
        <w:rPr>
          <w:rFonts w:ascii="Times New Roman" w:cs="Times New Roman" w:eastAsia="Times New Roman" w:hAnsi="Times New Roman"/>
          <w:sz w:val="16"/>
          <w:szCs w:val="16"/>
          <w:color w:val="auto"/>
        </w:rPr>
        <w:t>“plan assets” for purposes of Section 3(42) of ERISA, the occurrence of any Prohibited Transaction in connection with the transactions contemplated hereunder.</w:t>
      </w:r>
    </w:p>
    <w:p>
      <w:pPr>
        <w:spacing w:after="0" w:line="114" w:lineRule="exact"/>
        <w:rPr>
          <w:sz w:val="20"/>
          <w:szCs w:val="20"/>
          <w:color w:val="auto"/>
        </w:rPr>
      </w:pPr>
    </w:p>
    <w:p>
      <w:pPr>
        <w:ind w:left="1000" w:hanging="497"/>
        <w:spacing w:after="0"/>
        <w:tabs>
          <w:tab w:leader="none" w:pos="10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Solvency</w:t>
      </w:r>
      <w:r>
        <w:rPr>
          <w:rFonts w:ascii="Times New Roman" w:cs="Times New Roman" w:eastAsia="Times New Roman" w:hAnsi="Times New Roman"/>
          <w:sz w:val="16"/>
          <w:szCs w:val="16"/>
          <w:color w:val="auto"/>
        </w:rPr>
        <w:t>. After giving effect to each Advance hereunder, and the disbursement of the proceeds of such Advance, the Borrower is Solvent.</w:t>
      </w:r>
    </w:p>
    <w:p>
      <w:pPr>
        <w:spacing w:after="0" w:line="144" w:lineRule="exact"/>
        <w:rPr>
          <w:rFonts w:ascii="Times New Roman" w:cs="Times New Roman" w:eastAsia="Times New Roman" w:hAnsi="Times New Roman"/>
          <w:sz w:val="16"/>
          <w:szCs w:val="16"/>
          <w:color w:val="auto"/>
        </w:rPr>
      </w:pPr>
    </w:p>
    <w:p>
      <w:pPr>
        <w:jc w:val="both"/>
        <w:ind w:firstLine="503"/>
        <w:spacing w:after="0" w:line="218" w:lineRule="auto"/>
        <w:tabs>
          <w:tab w:leader="none" w:pos="100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Prior Business Activity and Indebtedness</w:t>
      </w:r>
      <w:r>
        <w:rPr>
          <w:rFonts w:ascii="Times New Roman" w:cs="Times New Roman" w:eastAsia="Times New Roman" w:hAnsi="Times New Roman"/>
          <w:sz w:val="16"/>
          <w:szCs w:val="16"/>
          <w:color w:val="auto"/>
        </w:rPr>
        <w:t>. The Borrower has no business activity except as contemplated in this Agreement and the other Facility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and upon the date hereof is not party to any other debt, financing or other transaction or agreement other than the Facility Documents and its Constituent Documents. The Borrower has not incurred, created or assumed any indebtedness except for that arising under or expressly permitted by this Agreement or the other Facility Documents.</w:t>
      </w:r>
    </w:p>
    <w:p>
      <w:pPr>
        <w:spacing w:after="0" w:line="127"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Subsidiaries; Investments</w:t>
      </w:r>
      <w:r>
        <w:rPr>
          <w:rFonts w:ascii="Times New Roman" w:cs="Times New Roman" w:eastAsia="Times New Roman" w:hAnsi="Times New Roman"/>
          <w:sz w:val="14"/>
          <w:szCs w:val="14"/>
          <w:color w:val="auto"/>
        </w:rPr>
        <w:t>. The Borrower has no Subsidiaries. The Borrower does not own or hold, directly or indirectly, any Equity Interest in any Person.</w:t>
      </w:r>
    </w:p>
    <w:p>
      <w:pPr>
        <w:spacing w:after="0" w:line="157" w:lineRule="exact"/>
        <w:rPr>
          <w:rFonts w:ascii="Times New Roman" w:cs="Times New Roman" w:eastAsia="Times New Roman" w:hAnsi="Times New Roman"/>
          <w:sz w:val="14"/>
          <w:szCs w:val="14"/>
          <w:color w:val="auto"/>
        </w:rPr>
      </w:pPr>
    </w:p>
    <w:p>
      <w:pPr>
        <w:ind w:firstLine="503"/>
        <w:spacing w:after="0" w:line="237" w:lineRule="auto"/>
        <w:tabs>
          <w:tab w:leader="none" w:pos="101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Ordinary Course of Business</w:t>
      </w:r>
      <w:r>
        <w:rPr>
          <w:rFonts w:ascii="Times New Roman" w:cs="Times New Roman" w:eastAsia="Times New Roman" w:hAnsi="Times New Roman"/>
          <w:sz w:val="16"/>
          <w:szCs w:val="16"/>
          <w:color w:val="auto"/>
        </w:rPr>
        <w:t>. Each payment of interest and principal on the Advances will have been (i) in payment of a debt incurred in the ordinary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 of business or financial affairs on the part of the Borrower and (ii) made in the ordinary course of business or financial affairs of the Borrower.</w:t>
      </w:r>
    </w:p>
    <w:p>
      <w:pPr>
        <w:spacing w:after="0" w:line="124" w:lineRule="exact"/>
        <w:rPr>
          <w:rFonts w:ascii="Times New Roman" w:cs="Times New Roman" w:eastAsia="Times New Roman" w:hAnsi="Times New Roman"/>
          <w:sz w:val="16"/>
          <w:szCs w:val="16"/>
          <w:color w:val="auto"/>
        </w:rPr>
      </w:pPr>
    </w:p>
    <w:p>
      <w:pPr>
        <w:ind w:firstLine="503"/>
        <w:spacing w:after="0" w:line="230" w:lineRule="auto"/>
        <w:tabs>
          <w:tab w:leader="none" w:pos="101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Material Adverse Effect</w:t>
      </w:r>
      <w:r>
        <w:rPr>
          <w:rFonts w:ascii="Times New Roman" w:cs="Times New Roman" w:eastAsia="Times New Roman" w:hAnsi="Times New Roman"/>
          <w:sz w:val="16"/>
          <w:szCs w:val="16"/>
          <w:color w:val="auto"/>
        </w:rPr>
        <w:t>. No Material Adverse Effect on the Borrower or Navan has occurred since September 30, 2022, and since such date, no event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circumstance has occurred which is reasonably likely to have a Material Adverse Effect on the Borrower or Navan.</w:t>
      </w:r>
    </w:p>
    <w:p>
      <w:pPr>
        <w:spacing w:after="0" w:line="124"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Representations Relating to the Collateral</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ind w:left="500" w:firstLine="513"/>
        <w:spacing w:after="0" w:line="229" w:lineRule="auto"/>
        <w:tabs>
          <w:tab w:leader="none" w:pos="151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owns and has legal and beneficial title to all Receivables owned by it and other Collateral free and clear of any Lien, other than Permitted Liens.</w:t>
      </w:r>
    </w:p>
    <w:p>
      <w:pPr>
        <w:spacing w:after="0" w:line="126" w:lineRule="exact"/>
        <w:rPr>
          <w:rFonts w:ascii="Times New Roman" w:cs="Times New Roman" w:eastAsia="Times New Roman" w:hAnsi="Times New Roman"/>
          <w:sz w:val="16"/>
          <w:szCs w:val="16"/>
          <w:color w:val="auto"/>
        </w:rPr>
      </w:pPr>
    </w:p>
    <w:p>
      <w:pPr>
        <w:jc w:val="both"/>
        <w:ind w:left="500" w:firstLine="513"/>
        <w:spacing w:after="0" w:line="218" w:lineRule="auto"/>
        <w:tabs>
          <w:tab w:leader="none" w:pos="151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creates a valid and continuing security interest (as defined in the applicable UCC) in favor of the Administrative Agent, on behalf of the Secured Parties, in the Collateral, which is enforceable in accordance with its terms under the Applicable Law, is prior to all other Liens and is enforceable as such against creditors of and purchasers from the Borrower subject to Permitted Liens. All filings (including such UCC filings) as are necessary in any jurisdiction to perfect the interest of the Administrative Agent on behalf of the Secured Parties, in the Collateral have been made and are effective.</w:t>
      </w:r>
    </w:p>
    <w:p>
      <w:pPr>
        <w:spacing w:after="0" w:line="116"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a security agreement within the meaning of Section 9-102(a)(73) of the UCC as in effect from time to time in the State</w:t>
      </w:r>
    </w:p>
    <w:p>
      <w:pPr>
        <w:spacing w:after="0" w:line="16"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of New York.</w:t>
      </w:r>
    </w:p>
    <w:p>
      <w:pPr>
        <w:spacing w:after="0" w:line="126" w:lineRule="exact"/>
        <w:rPr>
          <w:rFonts w:ascii="Times New Roman" w:cs="Times New Roman" w:eastAsia="Times New Roman" w:hAnsi="Times New Roman"/>
          <w:sz w:val="14"/>
          <w:szCs w:val="14"/>
          <w:color w:val="auto"/>
        </w:rPr>
      </w:pPr>
    </w:p>
    <w:p>
      <w:pPr>
        <w:jc w:val="both"/>
        <w:ind w:left="500" w:firstLine="513"/>
        <w:spacing w:after="0" w:line="218" w:lineRule="auto"/>
        <w:tabs>
          <w:tab w:leader="none" w:pos="151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Lien created under this Agreement,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Administrative Agent hereunder or that has been terminated; and the Borrower is not aware of any judgment liens, PBGC liens or tax lien filings against the Borrower.</w:t>
      </w:r>
    </w:p>
    <w:p>
      <w:pPr>
        <w:spacing w:after="0" w:line="116" w:lineRule="exact"/>
        <w:rPr>
          <w:rFonts w:ascii="Times New Roman" w:cs="Times New Roman" w:eastAsia="Times New Roman" w:hAnsi="Times New Roman"/>
          <w:sz w:val="16"/>
          <w:szCs w:val="16"/>
          <w:color w:val="auto"/>
        </w:rPr>
      </w:pPr>
    </w:p>
    <w:p>
      <w:pPr>
        <w:jc w:val="both"/>
        <w:ind w:left="500" w:firstLine="513"/>
        <w:spacing w:after="0" w:line="226" w:lineRule="auto"/>
        <w:tabs>
          <w:tab w:leader="none" w:pos="1509"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constitutes Money, Cash, accounts, general intangibles, uncertificated securities, deposit accounts, securities accounts, certificated securities or security entitlements to financial assets resulting from the crediting of financial assets to a securities account, or in each case, the proceeds thereof or supporting obligations related thereto, in each case, as such assets are defined in the UCC, as applicable.</w:t>
      </w:r>
    </w:p>
    <w:p>
      <w:pPr>
        <w:sectPr>
          <w:pgSz w:w="11900" w:h="16838" w:orient="portrait"/>
          <w:cols w:equalWidth="0" w:num="1">
            <w:col w:w="10760"/>
          </w:cols>
          <w:pgMar w:left="820" w:top="1122" w:right="319" w:bottom="1440" w:gutter="0" w:footer="0" w:header="0"/>
        </w:sectPr>
      </w:pPr>
    </w:p>
    <w:bookmarkStart w:id="270" w:name="page271"/>
    <w:bookmarkEnd w:id="270"/>
    <w:p>
      <w:pPr>
        <w:jc w:val="both"/>
        <w:ind w:left="500" w:firstLine="513"/>
        <w:spacing w:after="0" w:line="221" w:lineRule="auto"/>
        <w:tabs>
          <w:tab w:leader="none" w:pos="151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Dollar Collection Account and, once established, the Reserve Account constitute a “deposit account” under Section 9-102(a)(2) of the UCC and the Borrower has taken all steps necessary to enable the Administrative Agent to obtain “control” (within the meaning of the UCC) with respect to the Dollar Collection Account and, once established, the Reserve Account.</w:t>
      </w:r>
    </w:p>
    <w:p>
      <w:pPr>
        <w:spacing w:after="0" w:line="128"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English Collection Accounts opened with the English Account Bank are maintained in England and Wales and are governed by English law.</w:t>
      </w:r>
    </w:p>
    <w:p>
      <w:pPr>
        <w:spacing w:after="0" w:line="167" w:lineRule="exact"/>
        <w:rPr>
          <w:rFonts w:ascii="Times New Roman" w:cs="Times New Roman" w:eastAsia="Times New Roman" w:hAnsi="Times New Roman"/>
          <w:sz w:val="14"/>
          <w:szCs w:val="14"/>
          <w:color w:val="auto"/>
        </w:rPr>
      </w:pPr>
    </w:p>
    <w:p>
      <w:pPr>
        <w:ind w:left="500" w:firstLine="513"/>
        <w:spacing w:after="0" w:line="229" w:lineRule="auto"/>
        <w:tabs>
          <w:tab w:leader="none" w:pos="1511"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Accounts are in the name of the Borrower and the Borrower owns and has good and marketable title to the Collection Accounts free and clear of any Liens (other than any Permitted Liens).</w:t>
      </w:r>
    </w:p>
    <w:p>
      <w:pPr>
        <w:spacing w:after="0" w:line="126" w:lineRule="exact"/>
        <w:rPr>
          <w:rFonts w:ascii="Times New Roman" w:cs="Times New Roman" w:eastAsia="Times New Roman" w:hAnsi="Times New Roman"/>
          <w:sz w:val="16"/>
          <w:szCs w:val="16"/>
          <w:color w:val="auto"/>
        </w:rPr>
      </w:pPr>
    </w:p>
    <w:p>
      <w:pPr>
        <w:jc w:val="both"/>
        <w:ind w:left="500" w:firstLine="513"/>
        <w:spacing w:after="0"/>
        <w:tabs>
          <w:tab w:leader="none" w:pos="151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creates a valid, continuing and, upon the filing of the financing statements referred to in clause (ix) and execution of the Collection Account Control Agreement, a perfected security interest (as defined in Section 1 201(b)(35) of the UCC) in the Collateral in favor of the Administrative Agent, for the benefit and security of the Secured Parties, which security interest is prior to all other Liens (other than Permitted Liens), claims and encumbrances and is enforceable as such against creditors of and purchasers from the Borrower and no further action (other than the filing of the financing statement referred to in clause</w:t>
      </w:r>
    </w:p>
    <w:p>
      <w:pPr>
        <w:jc w:val="both"/>
        <w:ind w:left="500" w:firstLine="3"/>
        <w:spacing w:after="0" w:line="214" w:lineRule="auto"/>
        <w:tabs>
          <w:tab w:leader="none" w:pos="77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execution of the Collection Account Control Agreement), including any filing or recording of any document, is necessary in order to establish and perfect the first priority security interest of the Administrative Agent, for the benefit of the Secured Parties, in the Collateral as against any third party in any applicable jurisdiction, including, any purchaser from, or creditor of, the Borrower.</w:t>
      </w:r>
    </w:p>
    <w:p>
      <w:pPr>
        <w:spacing w:after="0" w:line="126" w:lineRule="exact"/>
        <w:rPr>
          <w:rFonts w:ascii="Times New Roman" w:cs="Times New Roman" w:eastAsia="Times New Roman" w:hAnsi="Times New Roman"/>
          <w:sz w:val="16"/>
          <w:szCs w:val="16"/>
          <w:color w:val="auto"/>
        </w:rPr>
      </w:pPr>
    </w:p>
    <w:p>
      <w:pPr>
        <w:jc w:val="both"/>
        <w:ind w:left="500" w:firstLine="513"/>
        <w:spacing w:after="0" w:line="221" w:lineRule="auto"/>
        <w:tabs>
          <w:tab w:leader="none" w:pos="150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received all consents and approvals required by the terms of the Related Documents in respect of such Collateral to the pledge hereunder to the Administrative Agent of its interest and rights in such Collateral and such documents do not require either notice or consent to any Person for the enforcement or exercise of the rights and remedies of the Secured Parties following an Event of Default.</w:t>
      </w:r>
    </w:p>
    <w:p>
      <w:pPr>
        <w:spacing w:after="0" w:line="128" w:lineRule="exact"/>
        <w:rPr>
          <w:rFonts w:ascii="Times New Roman" w:cs="Times New Roman" w:eastAsia="Times New Roman" w:hAnsi="Times New Roman"/>
          <w:sz w:val="16"/>
          <w:szCs w:val="16"/>
          <w:color w:val="auto"/>
        </w:rPr>
      </w:pPr>
    </w:p>
    <w:p>
      <w:pPr>
        <w:jc w:val="both"/>
        <w:ind w:left="500" w:firstLine="513"/>
        <w:spacing w:after="0" w:line="214" w:lineRule="auto"/>
        <w:tabs>
          <w:tab w:leader="none" w:pos="151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Collateral referred to in clause (v) above over which a security interest may be perfect by the filing of a financing statement, the Borrower has authorized, caused or will have caused, on or prior to the Closing Date, the filing of all appropriate financing statements in the proper filing office in the appropriate jurisdictions under Applicable Law in order to perfect the security interest in the Collateral granted to the Administrative Agent, for the benefit and security of the Secured Parties, hereunder (which the Borrower hereby agrees may be an “all assets” filing).</w:t>
      </w:r>
    </w:p>
    <w:p>
      <w:pPr>
        <w:spacing w:after="0" w:line="128" w:lineRule="exact"/>
        <w:rPr>
          <w:rFonts w:ascii="Times New Roman" w:cs="Times New Roman" w:eastAsia="Times New Roman" w:hAnsi="Times New Roman"/>
          <w:sz w:val="16"/>
          <w:szCs w:val="16"/>
          <w:color w:val="auto"/>
        </w:rPr>
      </w:pPr>
    </w:p>
    <w:p>
      <w:pPr>
        <w:ind w:left="500" w:firstLine="513"/>
        <w:spacing w:after="0" w:line="235" w:lineRule="auto"/>
        <w:tabs>
          <w:tab w:leader="none" w:pos="151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each Receivable by the Seller to the Borrower was, as of the related Purchase Date, permitted under all applicable documents governing the creation, sale or possession of such Receivable in effect at such time.</w:t>
      </w:r>
    </w:p>
    <w:p>
      <w:pPr>
        <w:spacing w:after="0" w:line="117"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related Purchase Date, each Receivable sold to the Borrower satisfied each of the criteria set forth in the definition of Eligible Receivable.</w:t>
      </w:r>
    </w:p>
    <w:p>
      <w:pPr>
        <w:spacing w:after="0" w:line="167" w:lineRule="exact"/>
        <w:rPr>
          <w:rFonts w:ascii="Times New Roman" w:cs="Times New Roman" w:eastAsia="Times New Roman" w:hAnsi="Times New Roman"/>
          <w:sz w:val="14"/>
          <w:szCs w:val="14"/>
          <w:color w:val="auto"/>
        </w:rPr>
      </w:pPr>
    </w:p>
    <w:p>
      <w:pPr>
        <w:ind w:left="500" w:firstLine="513"/>
        <w:spacing w:after="0" w:line="235" w:lineRule="auto"/>
        <w:tabs>
          <w:tab w:leader="none" w:pos="1513"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Receivable listed as an Eligible Receivable on any Monthly Report, Notice of Borrowing, or other certificate delivered from time to time to the Administrative Agent or the other Secured Parties satisfies each of the criteria set forth in the definition of Eligible Receivable.</w:t>
      </w:r>
    </w:p>
    <w:p>
      <w:pPr>
        <w:spacing w:after="0" w:line="117"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Eligible Receivable was originated by an Originator and was sold to the Borrower by the Seller for a price at least equal to fair market value.</w:t>
      </w:r>
    </w:p>
    <w:p>
      <w:pPr>
        <w:spacing w:after="0" w:line="166" w:lineRule="exact"/>
        <w:rPr>
          <w:sz w:val="20"/>
          <w:szCs w:val="20"/>
          <w:color w:val="auto"/>
        </w:rPr>
      </w:pPr>
    </w:p>
    <w:p>
      <w:pPr>
        <w:ind w:left="1000" w:hanging="497"/>
        <w:spacing w:after="0"/>
        <w:tabs>
          <w:tab w:leader="none" w:pos="10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USA PATRIOT Act</w:t>
      </w:r>
      <w:r>
        <w:rPr>
          <w:rFonts w:ascii="Times New Roman" w:cs="Times New Roman" w:eastAsia="Times New Roman" w:hAnsi="Times New Roman"/>
          <w:sz w:val="14"/>
          <w:szCs w:val="14"/>
          <w:color w:val="auto"/>
        </w:rPr>
        <w:t>. None of the Borrower, Navan or any of their respective Affiliates is (1) a Sanctioned Person; (2) a Person that resides or has a place of</w:t>
      </w:r>
    </w:p>
    <w:p>
      <w:pPr>
        <w:spacing w:after="0" w:line="1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business in a</w:t>
      </w:r>
    </w:p>
    <w:p>
      <w:pPr>
        <w:sectPr>
          <w:pgSz w:w="11900" w:h="16838" w:orient="portrait"/>
          <w:cols w:equalWidth="0" w:num="1">
            <w:col w:w="10760"/>
          </w:cols>
          <w:pgMar w:left="820" w:top="1129" w:right="319" w:bottom="1440" w:gutter="0" w:footer="0" w:header="0"/>
        </w:sectPr>
      </w:pPr>
    </w:p>
    <w:bookmarkStart w:id="271" w:name="page272"/>
    <w:bookmarkEnd w:id="271"/>
    <w:p>
      <w:pPr>
        <w:ind w:left="520"/>
        <w:spacing w:after="0"/>
        <w:rPr>
          <w:sz w:val="20"/>
          <w:szCs w:val="20"/>
          <w:color w:val="auto"/>
        </w:rPr>
      </w:pPr>
      <w:r>
        <w:rPr>
          <w:rFonts w:ascii="Times New Roman" w:cs="Times New Roman" w:eastAsia="Times New Roman" w:hAnsi="Times New Roman"/>
          <w:sz w:val="16"/>
          <w:szCs w:val="16"/>
          <w:color w:val="auto"/>
        </w:rPr>
        <w:t>country or territory named on such lists or which is designated as a “non-cooperative jurisdiction” by the Financial Action Task Force on Money Laundering, or whose</w:t>
      </w:r>
    </w:p>
    <w:p>
      <w:pPr>
        <w:ind w:left="520"/>
        <w:spacing w:after="0" w:line="229" w:lineRule="auto"/>
        <w:rPr>
          <w:sz w:val="20"/>
          <w:szCs w:val="20"/>
          <w:color w:val="auto"/>
        </w:rPr>
      </w:pPr>
      <w:r>
        <w:rPr>
          <w:rFonts w:ascii="Times New Roman" w:cs="Times New Roman" w:eastAsia="Times New Roman" w:hAnsi="Times New Roman"/>
          <w:sz w:val="14"/>
          <w:szCs w:val="14"/>
          <w:color w:val="auto"/>
        </w:rPr>
        <w:t>subscription funds are transferred from or through such a jurisdiction; (3) a “Foreign Shell Bank” within the meaning of the PATRIOT Act, i.e., a foreign bank that does not have a physical presence in any country and that is not affiliated with a bank that has a physical presence and an acceptable level of regulation and supervision; or (4) a</w:t>
      </w:r>
    </w:p>
    <w:p>
      <w:pPr>
        <w:ind w:left="520"/>
        <w:spacing w:after="0" w:line="224" w:lineRule="auto"/>
        <w:rPr>
          <w:sz w:val="20"/>
          <w:szCs w:val="20"/>
          <w:color w:val="auto"/>
        </w:rPr>
      </w:pPr>
      <w:r>
        <w:rPr>
          <w:rFonts w:ascii="Times New Roman" w:cs="Times New Roman" w:eastAsia="Times New Roman" w:hAnsi="Times New Roman"/>
          <w:sz w:val="16"/>
          <w:szCs w:val="16"/>
          <w:color w:val="auto"/>
        </w:rPr>
        <w:t>person or entity that resides in or is organized under the laws of a jurisdiction designated by the United States Secretary of the Treasury under Section 311 or 312 of the PATRIOT Act as warranting special measures due to money laundering concerns.</w:t>
      </w:r>
    </w:p>
    <w:p>
      <w:pPr>
        <w:spacing w:after="0" w:line="114" w:lineRule="exact"/>
        <w:rPr>
          <w:sz w:val="20"/>
          <w:szCs w:val="20"/>
          <w:color w:val="auto"/>
        </w:rPr>
      </w:pPr>
    </w:p>
    <w:p>
      <w:pPr>
        <w:ind w:left="520" w:firstLine="503"/>
        <w:spacing w:after="0" w:line="237" w:lineRule="auto"/>
        <w:tabs>
          <w:tab w:leader="none" w:pos="152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Margin Stock</w:t>
      </w:r>
      <w:r>
        <w:rPr>
          <w:rFonts w:ascii="Times New Roman" w:cs="Times New Roman" w:eastAsia="Times New Roman" w:hAnsi="Times New Roman"/>
          <w:sz w:val="16"/>
          <w:szCs w:val="16"/>
          <w:color w:val="auto"/>
        </w:rPr>
        <w:t>. The use of all funds obtained by the Borrower under this Agreement shall not conflict with or contravene any of Regulations T, U or 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promulgated by the Federal Reserve Board from time to time.</w:t>
      </w:r>
    </w:p>
    <w:p>
      <w:pPr>
        <w:spacing w:after="0" w:line="124" w:lineRule="exact"/>
        <w:rPr>
          <w:rFonts w:ascii="Times New Roman" w:cs="Times New Roman" w:eastAsia="Times New Roman" w:hAnsi="Times New Roman"/>
          <w:sz w:val="16"/>
          <w:szCs w:val="16"/>
          <w:color w:val="auto"/>
        </w:rPr>
      </w:pPr>
    </w:p>
    <w:p>
      <w:pPr>
        <w:ind w:left="520" w:firstLine="503"/>
        <w:spacing w:after="0" w:line="230" w:lineRule="auto"/>
        <w:tabs>
          <w:tab w:leader="none" w:pos="153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Selection Procedures</w:t>
      </w:r>
      <w:r>
        <w:rPr>
          <w:rFonts w:ascii="Times New Roman" w:cs="Times New Roman" w:eastAsia="Times New Roman" w:hAnsi="Times New Roman"/>
          <w:sz w:val="16"/>
          <w:szCs w:val="16"/>
          <w:color w:val="auto"/>
        </w:rPr>
        <w:t>. From and after the Automatic Designation End Date, no procedures intended to be, or believed by the Borrower to be, adverse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of the Lenders were utilized by the Borrower in identifying and/or selecting Accounts designated for financing hereunder.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437.02 Representations and Warranties Relating to the Collateral in Connection with a Borrowing</w:t>
      </w:r>
      <w:r>
        <w:rPr>
          <w:rFonts w:ascii="Times New Roman" w:cs="Times New Roman" w:eastAsia="Times New Roman" w:hAnsi="Times New Roman"/>
          <w:sz w:val="14"/>
          <w:szCs w:val="14"/>
          <w:color w:val="auto"/>
        </w:rPr>
        <w:t>. The Borrower acknowledges and agrees that, by delivering a</w:t>
      </w:r>
    </w:p>
    <w:p>
      <w:pPr>
        <w:spacing w:after="0" w:line="18"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Notice of Borrowing to the Administrative Agent, the Borrower will be deemed to have represented, warranted and certified for all purposes hereunder that in the case of each item of Collateral pledged to the Administrative Agent, on the date thereof and on the relevant Borrowing Date:</w:t>
      </w:r>
    </w:p>
    <w:p>
      <w:pPr>
        <w:spacing w:after="0" w:line="1" w:lineRule="exact"/>
        <w:rPr>
          <w:sz w:val="20"/>
          <w:szCs w:val="20"/>
          <w:color w:val="auto"/>
        </w:rPr>
      </w:pPr>
    </w:p>
    <w:p>
      <w:pPr>
        <w:ind w:left="520" w:firstLine="503"/>
        <w:spacing w:after="0" w:line="224" w:lineRule="auto"/>
        <w:tabs>
          <w:tab w:leader="none" w:pos="153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the owner of such Collateral free and clear of any Liens, claims or encumbrances of any nature whatsoever except for (i) those which are being released on the related Borrowing Date and (ii) Permitted Liens;</w:t>
      </w:r>
    </w:p>
    <w:p>
      <w:pPr>
        <w:spacing w:after="0" w:line="11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acquired its ownership in such Collateral in good faith without notice of any adverse claim, except as described in clause (a) above;</w:t>
      </w:r>
    </w:p>
    <w:p>
      <w:pPr>
        <w:spacing w:after="0" w:line="144" w:lineRule="exact"/>
        <w:rPr>
          <w:rFonts w:ascii="Times New Roman" w:cs="Times New Roman" w:eastAsia="Times New Roman" w:hAnsi="Times New Roman"/>
          <w:sz w:val="16"/>
          <w:szCs w:val="16"/>
          <w:color w:val="auto"/>
        </w:rPr>
      </w:pPr>
    </w:p>
    <w:p>
      <w:pPr>
        <w:ind w:left="520" w:firstLine="503"/>
        <w:spacing w:after="0" w:line="235" w:lineRule="auto"/>
        <w:tabs>
          <w:tab w:leader="none" w:pos="153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not assigned, pledged or otherwise encumbered any interest in such Collateral (or, if any such interest has been assigned, pledged or otherwise encumbered, it has been released) other than interests granted or permitted pursuant to this Agreement;</w:t>
      </w:r>
    </w:p>
    <w:p>
      <w:pPr>
        <w:spacing w:after="0" w:line="11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has full right to grant a security interest in and assign and pledge such Collateral to the Administrative Agent for the benefit of the Secured</w:t>
      </w:r>
    </w:p>
    <w:p>
      <w:pPr>
        <w:spacing w:after="0" w:line="1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Parties; and</w:t>
      </w:r>
    </w:p>
    <w:p>
      <w:pPr>
        <w:spacing w:after="0" w:line="116"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has a first priority perfected security interest in the Collateral, except as otherwise permitted by this Agreement.</w:t>
      </w:r>
    </w:p>
    <w:p>
      <w:pPr>
        <w:spacing w:after="0" w:line="1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438.</w:t>
      </w:r>
    </w:p>
    <w:p>
      <w:pPr>
        <w:spacing w:after="0" w:line="1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45"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Section 438.01 Affirmative Covenants of the Borrower. </w:t>
      </w:r>
      <w:r>
        <w:rPr>
          <w:rFonts w:ascii="Times New Roman" w:cs="Times New Roman" w:eastAsia="Times New Roman" w:hAnsi="Times New Roman"/>
          <w:sz w:val="16"/>
          <w:szCs w:val="16"/>
          <w:color w:val="auto"/>
        </w:rPr>
        <w:t>The Borrower covenants and agrees that until the date that all Obligations have been paid in full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contingent indemnity obligations not yet due and owing):</w:t>
      </w:r>
    </w:p>
    <w:p>
      <w:pPr>
        <w:spacing w:after="0" w:line="114" w:lineRule="exact"/>
        <w:rPr>
          <w:sz w:val="20"/>
          <w:szCs w:val="20"/>
          <w:color w:val="auto"/>
        </w:rPr>
      </w:pPr>
    </w:p>
    <w:p>
      <w:pPr>
        <w:jc w:val="both"/>
        <w:ind w:left="520" w:firstLine="503"/>
        <w:spacing w:after="0" w:line="215" w:lineRule="auto"/>
        <w:tabs>
          <w:tab w:leader="none" w:pos="153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Agreements, Laws, Etc</w:t>
      </w:r>
      <w:r>
        <w:rPr>
          <w:rFonts w:ascii="Times New Roman" w:cs="Times New Roman" w:eastAsia="Times New Roman" w:hAnsi="Times New Roman"/>
          <w:sz w:val="16"/>
          <w:szCs w:val="16"/>
          <w:color w:val="auto"/>
        </w:rPr>
        <w:t>. It shall (i) duly observe and comply in all material respects with all Applicable Laws relative to the conduct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or to its assets, including all credit, servicing and debt collection laws applicable to the Receivables and its activities and obligations as contemplated by the Facility Documents, (ii) preserve and keep in full force and effect its legal existence, (iii) preserve and keep in full force and effect its rights, privileges, qualifications and franchises (including all credit, servicing and debt collection licenses or qualifications applicable to the Receivables and its activities contemplated by the Facility Documents), except where the failure to do so could not reasonably be expected to result in a Material Adverse Effect on the Borrower, (iv) comply with the terms and conditions of each Facility Document and in all material respects with its Constituent Documents to which it is a</w:t>
      </w:r>
    </w:p>
    <w:p>
      <w:pPr>
        <w:sectPr>
          <w:pgSz w:w="11900" w:h="16838" w:orient="portrait"/>
          <w:cols w:equalWidth="0" w:num="1">
            <w:col w:w="11280"/>
          </w:cols>
          <w:pgMar w:left="300" w:top="1122" w:right="3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color w:val="auto"/>
        </w:rPr>
        <w:t>party and (v) obtain, maintain and keep in full force and effect all Governmental Authorizations, Private Authorizations and Governmental Filings which are necessary or</w:t>
      </w:r>
    </w:p>
    <w:p>
      <w:pPr>
        <w:spacing w:after="0" w:line="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appropriate to properly carry out its business and the transactions contemplated to be performed by it under the Facility Documents and Related Documents to which it is a party and its Constituent Documents, except where the failure to do so could not reasonably be expected to result in a Material Adverse Effect on the Borrower.</w:t>
      </w:r>
    </w:p>
    <w:p>
      <w:pPr>
        <w:spacing w:after="0" w:line="125" w:lineRule="exact"/>
        <w:rPr>
          <w:sz w:val="20"/>
          <w:szCs w:val="20"/>
          <w:color w:val="auto"/>
        </w:rPr>
      </w:pPr>
    </w:p>
    <w:p>
      <w:pPr>
        <w:jc w:val="both"/>
        <w:ind w:firstLine="503"/>
        <w:spacing w:after="0" w:line="209" w:lineRule="auto"/>
        <w:tabs>
          <w:tab w:leader="none" w:pos="100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Enforcement</w:t>
      </w:r>
      <w:r>
        <w:rPr>
          <w:rFonts w:ascii="Times New Roman" w:cs="Times New Roman" w:eastAsia="Times New Roman" w:hAnsi="Times New Roman"/>
          <w:sz w:val="16"/>
          <w:szCs w:val="16"/>
          <w:color w:val="auto"/>
        </w:rPr>
        <w:t>. It shall not take any action, and will use commercially reasonable efforts not to permit any action to be taken, that would release any Obligor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any Receivable owned by Borrower from any of such Obligor’s covenants or obligations under any Related Document, except in the case of (A) repayment of Receivables, (B) subject to the terms of this Agreement, (1) amendments to the Related Documents, Defaulted Receivables or Ineligible Receivables or that are otherwise reasonably deemed by the Servicer to be necessary, immaterial, or beneficial, taken as a whole, to the Borrower and not detrimental to the Administrative Agent and the Lenders and (2) enforcement actions taken or work outs with respect to any Defaulted Receivable by the Servicer in accordance with the provisions hereof, (C) actions by the Servicer in conformity with this Agreement or any other Facility Document or as otherwise required hereby or thereby, as the case may be, or (D) as required pursuant to Applicable Law or, unless in violation of this Agreement, any other Facility Documents or the Related Documents. The Borrower shall punctually perform, and shall use its reasonable commercial efforts to cause the Seller and the Servicer to perform, all of its respective obligations and agreements contained in this Agreement or any other Facility Document.</w:t>
      </w:r>
    </w:p>
    <w:p>
      <w:pPr>
        <w:spacing w:after="0" w:line="128" w:lineRule="exact"/>
        <w:rPr>
          <w:rFonts w:ascii="Times New Roman" w:cs="Times New Roman" w:eastAsia="Times New Roman" w:hAnsi="Times New Roman"/>
          <w:sz w:val="16"/>
          <w:szCs w:val="16"/>
          <w:color w:val="auto"/>
        </w:rPr>
      </w:pPr>
    </w:p>
    <w:p>
      <w:pPr>
        <w:jc w:val="both"/>
        <w:ind w:firstLine="503"/>
        <w:spacing w:after="0" w:line="206" w:lineRule="auto"/>
        <w:tabs>
          <w:tab w:leader="none" w:pos="10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Further Assurances</w:t>
      </w:r>
      <w:r>
        <w:rPr>
          <w:rFonts w:ascii="Times New Roman" w:cs="Times New Roman" w:eastAsia="Times New Roman" w:hAnsi="Times New Roman"/>
          <w:sz w:val="16"/>
          <w:szCs w:val="16"/>
          <w:color w:val="auto"/>
        </w:rPr>
        <w:t>. The Borrower shall take such reasonable action from time to time as shall be necessary to ensure that all assets (including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Collection Accounts and, once established, the Reserve Account) of the Borrower constitute “Collateral” hereunder. The Borrower will, and promptly upon the reasonable request of the Administrative Agent or the Required Lenders (through the Administrative Agent) shall, at the Borrower’s expense, execute and deliver such further instruments and take such further action in order to maintain and protect the Administrative Agent’s first priority perfected security interest in the Collateral pledged by the Borrower for the benefit of the Secured Parties free and clear of any Liens (other than Permitted Liens), including all further actions which are necessary to (x) enable the Secured Parties to enforce their rights and remedies under this Agreement and the other Facility Documents, and (y) effectuate the intent and purpose of, and to carry out the terms of, the Facility Documents. Subject to Section 7.02, and without limiting its obligation to maintain and protect the Administrative Agent’s first priority security interest in the Collateral, the Borrower authorizes the Administrative Agent to file or record financing statements (including financing statements describing the Collateral as “all assets”, “all assets of the Debtor now owned or existing or hereafter acquired or arising and wheresoever located” or the equivalent) and other filing or recording documents or instruments with respect to the Collateral in such form and in such offices as are necessary to perfect the security interests of the Administrative Agent under this Agreement under each method of perfection required herein with respect to the Collateral,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Administrative Agent does not hereby assume any obligation of the Borrower to maintain and protect its security interest under this Section 5.01 or Section 7.07. The Borrower will, in connection therewith, deliver such proof of corporate action, incumbency of officers or other documents as are reasonably requested by the Administrative Agent to evidence appropriate authority of the officers signing or authorizing any such documents, instruments or filings.</w:t>
      </w:r>
    </w:p>
    <w:p>
      <w:pPr>
        <w:spacing w:after="0" w:line="133" w:lineRule="exact"/>
        <w:rPr>
          <w:rFonts w:ascii="Times New Roman" w:cs="Times New Roman" w:eastAsia="Times New Roman" w:hAnsi="Times New Roman"/>
          <w:sz w:val="16"/>
          <w:szCs w:val="16"/>
          <w:color w:val="auto"/>
        </w:rPr>
      </w:pPr>
    </w:p>
    <w:p>
      <w:pPr>
        <w:ind w:firstLine="503"/>
        <w:spacing w:after="0" w:line="237" w:lineRule="auto"/>
        <w:tabs>
          <w:tab w:leader="none" w:pos="100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Information</w:t>
      </w:r>
      <w:r>
        <w:rPr>
          <w:rFonts w:ascii="Times New Roman" w:cs="Times New Roman" w:eastAsia="Times New Roman" w:hAnsi="Times New Roman"/>
          <w:sz w:val="16"/>
          <w:szCs w:val="16"/>
          <w:color w:val="auto"/>
        </w:rPr>
        <w:t>. It shall provide to the Administrative Agent or cause to be provided to the Administrative Agent (with enough additional copies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to distribute for each Lender), as applicable:</w:t>
      </w:r>
    </w:p>
    <w:p>
      <w:pPr>
        <w:spacing w:after="0" w:line="116" w:lineRule="exact"/>
        <w:rPr>
          <w:rFonts w:ascii="Times New Roman" w:cs="Times New Roman" w:eastAsia="Times New Roman" w:hAnsi="Times New Roman"/>
          <w:sz w:val="16"/>
          <w:szCs w:val="16"/>
          <w:color w:val="auto"/>
        </w:rPr>
      </w:pPr>
    </w:p>
    <w:p>
      <w:pPr>
        <w:jc w:val="both"/>
        <w:ind w:left="500" w:firstLine="513"/>
        <w:spacing w:after="0" w:line="218" w:lineRule="auto"/>
        <w:tabs>
          <w:tab w:leader="none" w:pos="1517"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available and in any event no later than April 15 following the end of each applicable fiscal year (beginning with the fiscal year ending January 2023; provided, however, solely in the case of the fiscal year ending January 2023, no later than August 15, 2024), (x) an audited consolidated balance sheet of Navan and its consolidated Subsidiaries (including the Borrower) as at the end of each such fiscal year and the related consolidated statements of income and cash flows for each such fiscal</w:t>
      </w:r>
    </w:p>
    <w:p>
      <w:pPr>
        <w:sectPr>
          <w:pgSz w:w="11900" w:h="16838" w:orient="portrait"/>
          <w:cols w:equalWidth="0" w:num="1">
            <w:col w:w="10760"/>
          </w:cols>
          <w:pgMar w:left="820" w:top="1129" w:right="3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color w:val="auto"/>
        </w:rPr>
        <w:t>year, setting forth in each case in comparative form the figures for the previous fiscal year, all reported on in conformity with GAAP, with the opinion thereon of an</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independent public accountant reasonably acceptable to the Administrative Agent, which opinion shall not be subject to any “going concern” or like qualification or exception (other than any such qualifications relating to the pending maturity of Indebtedness or the need for or uncertainty of future equity financing) or any</w:t>
      </w:r>
    </w:p>
    <w:p>
      <w:pPr>
        <w:spacing w:after="0" w:line="237" w:lineRule="auto"/>
        <w:rPr>
          <w:sz w:val="20"/>
          <w:szCs w:val="20"/>
          <w:color w:val="auto"/>
        </w:rPr>
      </w:pPr>
      <w:r>
        <w:rPr>
          <w:rFonts w:ascii="Times New Roman" w:cs="Times New Roman" w:eastAsia="Times New Roman" w:hAnsi="Times New Roman"/>
          <w:sz w:val="14"/>
          <w:szCs w:val="14"/>
          <w:color w:val="auto"/>
        </w:rPr>
        <w:t>qualification or exception as to the scope of such audit and (y) an unaudited consolidated balance sheet of Navan and its consolidated Subsidiaries (including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Borrower) as at the end of the last fiscal quarter of such fiscal year and the related consolidated statements of income and cash flows for such fiscal quarter and for the period from the beginning of the then current fiscal year to the end of such fiscal quarter, setting forth in comparative form the figures for the corresponding</w:t>
      </w:r>
    </w:p>
    <w:p>
      <w:pPr>
        <w:spacing w:after="0" w:line="208" w:lineRule="auto"/>
        <w:rPr>
          <w:sz w:val="20"/>
          <w:szCs w:val="20"/>
          <w:color w:val="auto"/>
        </w:rPr>
      </w:pPr>
      <w:r>
        <w:rPr>
          <w:rFonts w:ascii="Times New Roman" w:cs="Times New Roman" w:eastAsia="Times New Roman" w:hAnsi="Times New Roman"/>
          <w:sz w:val="16"/>
          <w:szCs w:val="16"/>
          <w:color w:val="auto"/>
        </w:rPr>
        <w:t>fiscal quarter in the previous year, all certified as to fairness of presentation and conformity with GAAP (other than with respect to lack of footnotes and being</w:t>
      </w:r>
    </w:p>
    <w:p>
      <w:pPr>
        <w:spacing w:after="0" w:line="229" w:lineRule="auto"/>
        <w:rPr>
          <w:sz w:val="20"/>
          <w:szCs w:val="20"/>
          <w:color w:val="auto"/>
        </w:rPr>
      </w:pPr>
      <w:r>
        <w:rPr>
          <w:rFonts w:ascii="Times New Roman" w:cs="Times New Roman" w:eastAsia="Times New Roman" w:hAnsi="Times New Roman"/>
          <w:sz w:val="14"/>
          <w:szCs w:val="14"/>
          <w:color w:val="auto"/>
        </w:rPr>
        <w:t>subject to normal year-end adjustments) by a Responsible Officer of such Person; provided, further, that the foregoing obligations shall be deemed satisfied if such financial statements are available on the Electronic Data Gathering, Analysis, and Retrieval system (or any successor system) maintained by the U.S. Securities and</w:t>
      </w:r>
    </w:p>
    <w:p>
      <w:pPr>
        <w:spacing w:after="0"/>
        <w:rPr>
          <w:sz w:val="20"/>
          <w:szCs w:val="20"/>
          <w:color w:val="auto"/>
        </w:rPr>
      </w:pPr>
      <w:r>
        <w:rPr>
          <w:rFonts w:ascii="Times New Roman" w:cs="Times New Roman" w:eastAsia="Times New Roman" w:hAnsi="Times New Roman"/>
          <w:sz w:val="16"/>
          <w:szCs w:val="16"/>
          <w:color w:val="auto"/>
        </w:rPr>
        <w:t>Exchange Commission (“EDGAR”);</w:t>
      </w:r>
    </w:p>
    <w:p>
      <w:pPr>
        <w:spacing w:after="0" w:line="127" w:lineRule="exact"/>
        <w:rPr>
          <w:sz w:val="20"/>
          <w:szCs w:val="20"/>
          <w:color w:val="auto"/>
        </w:rPr>
      </w:pPr>
    </w:p>
    <w:p>
      <w:pPr>
        <w:jc w:val="both"/>
        <w:ind w:firstLine="513"/>
        <w:spacing w:after="0" w:line="212" w:lineRule="auto"/>
        <w:tabs>
          <w:tab w:leader="none" w:pos="1017"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available and in any event within forty-five (45) days after the end of each of the first three fiscal quarters of each fiscal year, an unaudited consolidated balance sheet of Navan and its consolidated Subsidiaries (including the Borrower) as at the end of each such fiscal quarter and the related consolidated statements of income and cash flows for such fiscal quarter and for the period from the beginning of the then current fiscal year to the end of such fiscal quarter , setting forth in comparative form the figures for the corresponding fiscal quarter in the previous year, all certified as to fairness of presentation and conformity with GAAP (other than with respect to lack of footnotes and being subject to normal year-end adjustments) by a Responsible Officer of such Person; provided, further, that the foregoing obligation shall be deemed satisfied if such financial statements are available on EDGAR;</w:t>
      </w:r>
    </w:p>
    <w:p>
      <w:pPr>
        <w:spacing w:after="0" w:line="128" w:lineRule="exact"/>
        <w:rPr>
          <w:rFonts w:ascii="Times New Roman" w:cs="Times New Roman" w:eastAsia="Times New Roman" w:hAnsi="Times New Roman"/>
          <w:sz w:val="16"/>
          <w:szCs w:val="16"/>
          <w:color w:val="auto"/>
        </w:rPr>
      </w:pPr>
    </w:p>
    <w:p>
      <w:pPr>
        <w:ind w:firstLine="513"/>
        <w:spacing w:after="0" w:line="229" w:lineRule="auto"/>
        <w:tabs>
          <w:tab w:leader="none" w:pos="101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such financial statements shall be prepared in reasonable detail and in accordance with GAAP in all material respects applied consistently throughout the periods reflected therein and with prior periods (except as approved by such accountants or officer, as the case may be, and disclosed therein);</w:t>
      </w:r>
    </w:p>
    <w:p>
      <w:pPr>
        <w:spacing w:after="0" w:line="126" w:lineRule="exact"/>
        <w:rPr>
          <w:rFonts w:ascii="Times New Roman" w:cs="Times New Roman" w:eastAsia="Times New Roman" w:hAnsi="Times New Roman"/>
          <w:sz w:val="16"/>
          <w:szCs w:val="16"/>
          <w:color w:val="auto"/>
        </w:rPr>
      </w:pPr>
    </w:p>
    <w:p>
      <w:pPr>
        <w:jc w:val="both"/>
        <w:ind w:firstLine="513"/>
        <w:spacing w:after="0" w:line="209" w:lineRule="auto"/>
        <w:tabs>
          <w:tab w:leader="none" w:pos="101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the delivery of each set of financial statements and financial information referred to in clauses (i) and (ii) above, within the corresponding required delivery timeframes as set forth therein, (A) a certificate of a Responsible Officer of the Borrower certifying (1) that the Borrower and Navan have complied with all covenants and agreements in the Facility Documents, (2) that no Unmatured Accelerated Amortization Event, Unmatured Event of Default, Unmatured Limited Guaranty Event of Default, Unmatured Servicer Event of Default, Accelerated Amortization Event, Event of Default, Limited Guaranty Event of Default or Servicer Event of Default then exists and, otherwise, setting forth the details thereof and the action which the Borrower or Navan is taking or proposes to take with respect thereto and (3) attaching a Borrowing Base Certificate and (B) a certificate of a Responsible Officer of Navan, in the form attached hereto as </w:t>
      </w:r>
      <w:r>
        <w:rPr>
          <w:rFonts w:ascii="Times New Roman" w:cs="Times New Roman" w:eastAsia="Times New Roman" w:hAnsi="Times New Roman"/>
          <w:sz w:val="16"/>
          <w:szCs w:val="16"/>
          <w:u w:val="single" w:color="auto"/>
          <w:color w:val="auto"/>
        </w:rPr>
        <w:t>Exhibit I</w:t>
      </w:r>
      <w:r>
        <w:rPr>
          <w:rFonts w:ascii="Times New Roman" w:cs="Times New Roman" w:eastAsia="Times New Roman" w:hAnsi="Times New Roman"/>
          <w:sz w:val="16"/>
          <w:szCs w:val="16"/>
          <w:color w:val="auto"/>
        </w:rPr>
        <w:t>, (I) certifying that Navan is in compliance with certain financial covenants with respect to Navan’s Tangible Net Worth, Leverage Ratio, Corporate Leverage Ratio and Unrestricted Cash and (II) an accompanying report that shall provide the details of the components of the cash and cash equivalents of Navan and its consolidated Subsidiaries (including the amount on deposit in the Stripe Available Cash Account on such date);</w:t>
      </w:r>
    </w:p>
    <w:p>
      <w:pPr>
        <w:spacing w:after="0" w:line="128" w:lineRule="exact"/>
        <w:rPr>
          <w:rFonts w:ascii="Times New Roman" w:cs="Times New Roman" w:eastAsia="Times New Roman" w:hAnsi="Times New Roman"/>
          <w:sz w:val="16"/>
          <w:szCs w:val="16"/>
          <w:color w:val="auto"/>
        </w:rPr>
      </w:pPr>
    </w:p>
    <w:p>
      <w:pPr>
        <w:jc w:val="both"/>
        <w:ind w:firstLine="513"/>
        <w:spacing w:after="0" w:line="221" w:lineRule="auto"/>
        <w:tabs>
          <w:tab w:leader="none" w:pos="100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possible and no later than two (2) Business Days after a Responsible Officer of the Borrower obtains actual knowledge of the occurrence and continuance of any Unmatured Accelerated Amortization Event, Unmatured Event of Default, Unmatured Limited Guaranty Event of Default, Unmatured Servicer Event of</w:t>
      </w:r>
    </w:p>
    <w:p>
      <w:pPr>
        <w:sectPr>
          <w:pgSz w:w="11900" w:h="16838" w:orient="portrait"/>
          <w:cols w:equalWidth="0" w:num="1">
            <w:col w:w="10260"/>
          </w:cols>
          <w:pgMar w:left="1320" w:top="1128" w:right="319" w:bottom="1440" w:gutter="0" w:footer="0" w:header="0"/>
        </w:sectPr>
      </w:pPr>
    </w:p>
    <w:bookmarkStart w:id="274" w:name="page275"/>
    <w:bookmarkEnd w:id="274"/>
    <w:p>
      <w:pPr>
        <w:spacing w:after="0" w:line="235" w:lineRule="auto"/>
        <w:rPr>
          <w:sz w:val="20"/>
          <w:szCs w:val="20"/>
          <w:color w:val="auto"/>
        </w:rPr>
      </w:pPr>
      <w:r>
        <w:rPr>
          <w:rFonts w:ascii="Times New Roman" w:cs="Times New Roman" w:eastAsia="Times New Roman" w:hAnsi="Times New Roman"/>
          <w:sz w:val="16"/>
          <w:szCs w:val="16"/>
          <w:color w:val="auto"/>
        </w:rPr>
        <w:t>Default, Accelerated Amortization Event, Event of Default, Limited Guaranty Event of Default or Servicer Event of Default, a certificate of a Responsible Officer of the Borrower setting forth the details thereof and the action which the Borrower is taking or proposes to take with respect thereto;</w:t>
      </w:r>
    </w:p>
    <w:p>
      <w:pPr>
        <w:spacing w:after="0" w:line="117" w:lineRule="exact"/>
        <w:rPr>
          <w:sz w:val="20"/>
          <w:szCs w:val="20"/>
          <w:color w:val="auto"/>
        </w:rPr>
      </w:pPr>
    </w:p>
    <w:p>
      <w:pPr>
        <w:ind w:firstLine="513"/>
        <w:spacing w:after="0" w:line="235" w:lineRule="auto"/>
        <w:tabs>
          <w:tab w:leader="none" w:pos="101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 to time such additional information or documents regarding the Borrower’s financial position or business and the Collateral as the Administrative Agent, the Required Lenders or the Required Class B Lenders (through the Administrative Agent) may reasonably request;</w:t>
      </w:r>
    </w:p>
    <w:p>
      <w:pPr>
        <w:spacing w:after="0" w:line="127" w:lineRule="exact"/>
        <w:rPr>
          <w:rFonts w:ascii="Times New Roman" w:cs="Times New Roman" w:eastAsia="Times New Roman" w:hAnsi="Times New Roman"/>
          <w:sz w:val="16"/>
          <w:szCs w:val="16"/>
          <w:color w:val="auto"/>
        </w:rPr>
      </w:pPr>
    </w:p>
    <w:p>
      <w:pPr>
        <w:ind w:firstLine="513"/>
        <w:spacing w:after="0" w:line="229" w:lineRule="auto"/>
        <w:tabs>
          <w:tab w:leader="none" w:pos="101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occurrence of any ERISA Event, notice of such ERISA Event and copies of any communications with all Governmental Authorities or any Multiemployer Plan with respect to such ERISA Event;</w:t>
      </w:r>
    </w:p>
    <w:p>
      <w:pPr>
        <w:spacing w:after="0" w:line="126" w:lineRule="exact"/>
        <w:rPr>
          <w:rFonts w:ascii="Times New Roman" w:cs="Times New Roman" w:eastAsia="Times New Roman" w:hAnsi="Times New Roman"/>
          <w:sz w:val="16"/>
          <w:szCs w:val="16"/>
          <w:color w:val="auto"/>
        </w:rPr>
      </w:pPr>
    </w:p>
    <w:p>
      <w:pPr>
        <w:jc w:val="both"/>
        <w:ind w:firstLine="513"/>
        <w:spacing w:after="0" w:line="216" w:lineRule="auto"/>
        <w:tabs>
          <w:tab w:leader="none" w:pos="101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and in any event within two (2) Business Days of receipt thereof, deliver to the Administrative Agent and the Class B Representative written notice of (A) without limiting the provisions of </w:t>
      </w:r>
      <w:r>
        <w:rPr>
          <w:rFonts w:ascii="Times New Roman" w:cs="Times New Roman" w:eastAsia="Times New Roman" w:hAnsi="Times New Roman"/>
          <w:sz w:val="16"/>
          <w:szCs w:val="16"/>
          <w:u w:val="single" w:color="auto"/>
          <w:color w:val="auto"/>
        </w:rPr>
        <w:t>Section 5.02(j)</w:t>
      </w:r>
      <w:r>
        <w:rPr>
          <w:rFonts w:ascii="Times New Roman" w:cs="Times New Roman" w:eastAsia="Times New Roman" w:hAnsi="Times New Roman"/>
          <w:sz w:val="16"/>
          <w:szCs w:val="16"/>
          <w:color w:val="auto"/>
        </w:rPr>
        <w:t xml:space="preserve">, any amendment, modification, supplement or waiver of any Credit Policy delivered by an Originator or the Seller, as applicable, to the Borrower and any related information provided by the Seller to the Borrower pursuant to the Receivables Purchase Agreement and (B) without limiting the provisions of </w:t>
      </w:r>
      <w:r>
        <w:rPr>
          <w:rFonts w:ascii="Times New Roman" w:cs="Times New Roman" w:eastAsia="Times New Roman" w:hAnsi="Times New Roman"/>
          <w:sz w:val="16"/>
          <w:szCs w:val="16"/>
          <w:u w:val="single" w:color="auto"/>
          <w:color w:val="auto"/>
        </w:rPr>
        <w:t>Section 5.02(j)</w:t>
      </w:r>
      <w:r>
        <w:rPr>
          <w:rFonts w:ascii="Times New Roman" w:cs="Times New Roman" w:eastAsia="Times New Roman" w:hAnsi="Times New Roman"/>
          <w:sz w:val="16"/>
          <w:szCs w:val="16"/>
          <w:color w:val="auto"/>
        </w:rPr>
        <w:t>, any amendment, modification, supplement or waiver of the Collection Policy delivered by the Servicer to the Borrower and any related information provided by the Servicer to the Borrower pursuant to the Servicing Agreement;</w:t>
      </w:r>
    </w:p>
    <w:p>
      <w:pPr>
        <w:spacing w:after="0" w:line="116" w:lineRule="exact"/>
        <w:rPr>
          <w:rFonts w:ascii="Times New Roman" w:cs="Times New Roman" w:eastAsia="Times New Roman" w:hAnsi="Times New Roman"/>
          <w:sz w:val="16"/>
          <w:szCs w:val="16"/>
          <w:color w:val="auto"/>
        </w:rPr>
      </w:pPr>
    </w:p>
    <w:p>
      <w:pPr>
        <w:jc w:val="both"/>
        <w:ind w:firstLine="513"/>
        <w:spacing w:after="0" w:line="218" w:lineRule="auto"/>
        <w:tabs>
          <w:tab w:leader="none" w:pos="101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within five (5) Business Days following knowledge thereof by the Borrower, a written notice to the Administrative Agent and the Class B Representative if any Obligor became subject to an Insolvency Event or fraud on the part of the applicable Obligor in connection with the opening of the related Card Account is discovered, and (B) at any time upon the reasonable request by the Administrative Agent, the Required Lenders or the Required Class B Lenders, the Borrower shall provide, or cause to be provided, to the Administrative Agent any information or document relating to the Collateral;</w:t>
      </w:r>
    </w:p>
    <w:p>
      <w:pPr>
        <w:spacing w:after="0" w:line="127" w:lineRule="exact"/>
        <w:rPr>
          <w:rFonts w:ascii="Times New Roman" w:cs="Times New Roman" w:eastAsia="Times New Roman" w:hAnsi="Times New Roman"/>
          <w:sz w:val="16"/>
          <w:szCs w:val="16"/>
          <w:color w:val="auto"/>
        </w:rPr>
      </w:pPr>
    </w:p>
    <w:p>
      <w:pPr>
        <w:jc w:val="both"/>
        <w:ind w:firstLine="513"/>
        <w:spacing w:after="0" w:line="221" w:lineRule="auto"/>
        <w:tabs>
          <w:tab w:leader="none" w:pos="100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information provided to the Administrative Agent or the Lenders pursuant to Section 4.01(i) hereof for any reason is not true, complete and correct in any material respect, the Borrower shall provide the true, complete and correct information to the Administrative Agent within five (5) Business Days following the earlier of (x) written notice to the Borrower by the Administrative Agent or (y) actual knowledge of a Responsible Officer of the Borrower;</w:t>
      </w:r>
    </w:p>
    <w:p>
      <w:pPr>
        <w:spacing w:after="0" w:line="128" w:lineRule="exact"/>
        <w:rPr>
          <w:rFonts w:ascii="Times New Roman" w:cs="Times New Roman" w:eastAsia="Times New Roman" w:hAnsi="Times New Roman"/>
          <w:sz w:val="16"/>
          <w:szCs w:val="16"/>
          <w:color w:val="auto"/>
        </w:rPr>
      </w:pPr>
    </w:p>
    <w:p>
      <w:pPr>
        <w:jc w:val="both"/>
        <w:ind w:firstLine="513"/>
        <w:spacing w:after="0" w:line="218" w:lineRule="auto"/>
        <w:tabs>
          <w:tab w:leader="none" w:pos="101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following any request therefor, the Borrower shall provide, to the extent commercially reasonable, information and documentation reasonably requested by the Administrative Agent or any Lender for purposes of compliance with applicable “know your customer” requirements under the PATRIOT Act, the Beneficial Ownership Regulation or other applicable anti-money laundering laws, including but not limited to a beneficial ownership certification in form reasonably acceptable to the Administrative Agent or the relevant Lender, as applicable;</w:t>
      </w:r>
    </w:p>
    <w:p>
      <w:pPr>
        <w:spacing w:after="0" w:line="116" w:lineRule="exact"/>
        <w:rPr>
          <w:rFonts w:ascii="Times New Roman" w:cs="Times New Roman" w:eastAsia="Times New Roman" w:hAnsi="Times New Roman"/>
          <w:sz w:val="16"/>
          <w:szCs w:val="16"/>
          <w:color w:val="auto"/>
        </w:rPr>
      </w:pPr>
    </w:p>
    <w:p>
      <w:pPr>
        <w:jc w:val="both"/>
        <w:ind w:firstLine="513"/>
        <w:spacing w:after="0" w:line="252" w:lineRule="auto"/>
        <w:tabs>
          <w:tab w:leader="none" w:pos="101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upon a Responsible Officer of the Borrower obtaining knowledge thereof, notice of any development that results in, or could reasonably be expected to result in, a Material Adverse Effect with respect to the Borrower, the Seller or the Servicer, including, without limitation, the filing or commencement of any action, suit or proceeding by or before any arbitrator or Governmental Authority against or affecting the Borrower or any of its Affiliates or any Receivable or any portion of the Collateral that could reasonably be expected to result in a Material Adverse Effect with respect to the Borrower, the Seller or the Servicer;</w:t>
      </w:r>
    </w:p>
    <w:p>
      <w:pPr>
        <w:sectPr>
          <w:pgSz w:w="11900" w:h="16838" w:orient="portrait"/>
          <w:cols w:equalWidth="0" w:num="1">
            <w:col w:w="10260"/>
          </w:cols>
          <w:pgMar w:left="1320" w:top="1129" w:right="319" w:bottom="1440" w:gutter="0" w:footer="0" w:header="0"/>
        </w:sectPr>
      </w:pPr>
    </w:p>
    <w:bookmarkStart w:id="275" w:name="page276"/>
    <w:bookmarkEnd w:id="275"/>
    <w:p>
      <w:pPr>
        <w:jc w:val="both"/>
        <w:ind w:left="-3" w:firstLine="513"/>
        <w:spacing w:after="0" w:line="221" w:lineRule="auto"/>
        <w:tabs>
          <w:tab w:leader="none" w:pos="1008"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possible and no later than one (1) Business Day after a Responsible Officer of the Borrower obtains actual knowledge of any failure described in Section 6.01(p) that results in the beginning of a Cross-Default Cure Period, notice of such failure, the details thereof, and as promptly as practicable thereafter, the action which Navan or such Subsidiary, as applicable, is taking or proposes to take with respect thereto; and</w:t>
      </w:r>
    </w:p>
    <w:p>
      <w:pPr>
        <w:spacing w:after="0" w:line="128" w:lineRule="exact"/>
        <w:rPr>
          <w:rFonts w:ascii="Times New Roman" w:cs="Times New Roman" w:eastAsia="Times New Roman" w:hAnsi="Times New Roman"/>
          <w:sz w:val="16"/>
          <w:szCs w:val="16"/>
          <w:color w:val="auto"/>
        </w:rPr>
      </w:pPr>
    </w:p>
    <w:p>
      <w:pPr>
        <w:ind w:left="1017" w:hanging="507"/>
        <w:spacing w:after="0"/>
        <w:tabs>
          <w:tab w:leader="none" w:pos="1017"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request by the Administrative Agent or any Lender, but no less frequently than on each Monthly Reporting Date, the Data Tape.</w:t>
      </w:r>
    </w:p>
    <w:p>
      <w:pPr>
        <w:spacing w:after="0" w:line="142" w:lineRule="exact"/>
        <w:rPr>
          <w:rFonts w:ascii="Times New Roman" w:cs="Times New Roman" w:eastAsia="Times New Roman" w:hAnsi="Times New Roman"/>
          <w:sz w:val="16"/>
          <w:szCs w:val="16"/>
          <w:color w:val="auto"/>
        </w:rPr>
      </w:pPr>
    </w:p>
    <w:p>
      <w:pPr>
        <w:ind w:left="497" w:hanging="497"/>
        <w:spacing w:after="0"/>
        <w:tabs>
          <w:tab w:leader="none" w:pos="49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Access to Records and Documents; Diligence Call</w:t>
      </w:r>
      <w:r>
        <w:rPr>
          <w:rFonts w:ascii="Times New Roman" w:cs="Times New Roman" w:eastAsia="Times New Roman" w:hAnsi="Times New Roman"/>
          <w:sz w:val="16"/>
          <w:szCs w:val="16"/>
          <w:color w:val="auto"/>
        </w:rPr>
        <w:t>.</w:t>
      </w:r>
    </w:p>
    <w:p>
      <w:pPr>
        <w:spacing w:after="0" w:line="136" w:lineRule="exact"/>
        <w:rPr>
          <w:rFonts w:ascii="Times New Roman" w:cs="Times New Roman" w:eastAsia="Times New Roman" w:hAnsi="Times New Roman"/>
          <w:sz w:val="16"/>
          <w:szCs w:val="16"/>
          <w:color w:val="auto"/>
        </w:rPr>
      </w:pPr>
    </w:p>
    <w:p>
      <w:pPr>
        <w:jc w:val="both"/>
        <w:ind w:left="-3" w:firstLine="513"/>
        <w:spacing w:after="0" w:line="208" w:lineRule="auto"/>
        <w:tabs>
          <w:tab w:leader="none" w:pos="1013"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reasonable advance notice and during normal business hours, the Borrower shall permit the Administrative Agent, jointly with the Class B Representative and any Lender (or any Person designated by the Administrative Agent or such Lender) to visit and inspect and make copies thereof at reasonable intervals and conduct evaluations and appraisals of the Borrower’s and the Servicer’s, as applicable, computation of the Class A Borrowing Base, the Class B Borrowing Base and the assets sold by the Seller included in the Class A Borrowing Base and the Class B Borrowing Base and the components of the Monthly Report (including cash receipt and application and calculation of ratios), but in any event no more than twice during any fiscal year of the Borrower (or as often and at any time in the sole discretion of the Administrative Agent following the occurrence and continuation of an Unmatured Event of Default or an Event of Default), of (x) Navan’ and the Borrower’s books, records and accounts relating to its business, financial condition, operations, assets, the Collateral and its performance under the Facility Documents and the Related Documents and to discuss the foregoing with its and such Person’s officers, partners, employees and accountants, (y) all of the Related Documents, including access to each electronic portal maintained by the Borrower or any third-party service provider and (z) a list of all Receivables then owned by the Borrower, together with the Servicer’s reconciliation of such list to that set forth in each of the Monthly Reports, indicating the cumulative addition, subtraction and repurchase of Receivables under the Receivables Purchase Agreement.</w:t>
      </w:r>
    </w:p>
    <w:p>
      <w:pPr>
        <w:spacing w:after="0" w:line="134" w:lineRule="exact"/>
        <w:rPr>
          <w:rFonts w:ascii="Times New Roman" w:cs="Times New Roman" w:eastAsia="Times New Roman" w:hAnsi="Times New Roman"/>
          <w:sz w:val="16"/>
          <w:szCs w:val="16"/>
          <w:color w:val="auto"/>
        </w:rPr>
      </w:pPr>
    </w:p>
    <w:p>
      <w:pPr>
        <w:jc w:val="both"/>
        <w:ind w:left="-3" w:firstLine="513"/>
        <w:spacing w:after="0" w:line="207" w:lineRule="auto"/>
        <w:tabs>
          <w:tab w:leader="none" w:pos="1014"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be responsible for the reasonable costs and expenses for one visit per calendar year (or, solely with respect to the calendar year 2026, two visits per calendar year; provided, such additional visit shall be permitted solely in connection with and to the extent related (1) to the Specified Errors (as defined in the Waiver) and (2) such other items related to the compliance by the Backup Servicer with its obligations under the Backup Servicing Agreement) requested by the Administrative Agent (such costs and expenses in any calendar year not to exceed $60,000) (or, with respect to calendar year 2026, $120,000)), unless an Unmatured Event of Default or an Event of Default has occurred and is continuing, in which case in addition to the Administrative Agent the Class B Lenders may visit the Borrower and the Borrower shall be responsible for all reasonable costs and expenses for each visit. In the event that there is any third party report prepared in connection with such visit, the results of such report shall be provided to the Class B Representative; provided that, if the Administrative Agent does not exercise the examination and visitation rights set forth in this Section 5.01(c)(i) prior to November 30 in any calendar year, then the Required Class B Lenders shall be permitted to exercise all such examination and visitation that calendar year; provided further that any Lender shall be permitted to accompany any Person exercising its examination and visitation rights this Section 5.01(c).</w:t>
      </w:r>
    </w:p>
    <w:p>
      <w:pPr>
        <w:spacing w:after="0" w:line="131" w:lineRule="exact"/>
        <w:rPr>
          <w:rFonts w:ascii="Times New Roman" w:cs="Times New Roman" w:eastAsia="Times New Roman" w:hAnsi="Times New Roman"/>
          <w:sz w:val="16"/>
          <w:szCs w:val="16"/>
          <w:color w:val="auto"/>
        </w:rPr>
      </w:pPr>
    </w:p>
    <w:p>
      <w:pPr>
        <w:jc w:val="both"/>
        <w:ind w:left="-3" w:firstLine="513"/>
        <w:spacing w:after="0" w:line="218" w:lineRule="auto"/>
        <w:tabs>
          <w:tab w:leader="none" w:pos="1015"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 obtain and maintain similar inspection and audit rights under the Facility Documents with the Seller, the Servicer and from and after the first date upon which the Backup Servicing Agreement is in effect, the Backup Servicer, (B) consult with the Administrative Agent and the Class B Representative (or any Person designated by the Administrative Agent or the Class B Representative) in connection with, and allow Administrative Agent and the Class B Representative (or any Person</w:t>
      </w:r>
    </w:p>
    <w:p>
      <w:pPr>
        <w:sectPr>
          <w:pgSz w:w="11900" w:h="16838" w:orient="portrait"/>
          <w:cols w:equalWidth="0" w:num="1">
            <w:col w:w="10257"/>
          </w:cols>
          <w:pgMar w:left="1323" w:top="1129" w:right="3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color w:val="auto"/>
        </w:rPr>
        <w:t>designated by the Administrative Agent or the Class B Representative) to join the Borrower in, any exercise of any similar inspection or audit rights granted to it</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with respect to the Seller, the Servicer or when applicable, the Backup Servicer, and (C) use commercially reasonable efforts to have the findings of any such inspection provided directly to the Administrative Agent, or promptly provide any such findings provided to it in connection with the exercise of such inspection</w:t>
      </w:r>
    </w:p>
    <w:p>
      <w:pPr>
        <w:spacing w:after="0" w:line="208" w:lineRule="auto"/>
        <w:rPr>
          <w:sz w:val="20"/>
          <w:szCs w:val="20"/>
          <w:color w:val="auto"/>
        </w:rPr>
      </w:pPr>
      <w:r>
        <w:rPr>
          <w:rFonts w:ascii="Times New Roman" w:cs="Times New Roman" w:eastAsia="Times New Roman" w:hAnsi="Times New Roman"/>
          <w:sz w:val="16"/>
          <w:szCs w:val="16"/>
          <w:color w:val="auto"/>
        </w:rPr>
        <w:t>rights to the Administrative Agent and the Class B Representative. In the event the Borrower has not exercised any such inspection rights granted to it, the</w:t>
      </w:r>
    </w:p>
    <w:p>
      <w:pPr>
        <w:spacing w:after="0" w:line="217" w:lineRule="auto"/>
        <w:rPr>
          <w:sz w:val="20"/>
          <w:szCs w:val="20"/>
          <w:color w:val="auto"/>
        </w:rPr>
      </w:pPr>
      <w:r>
        <w:rPr>
          <w:rFonts w:ascii="Times New Roman" w:cs="Times New Roman" w:eastAsia="Times New Roman" w:hAnsi="Times New Roman"/>
          <w:sz w:val="16"/>
          <w:szCs w:val="16"/>
          <w:color w:val="auto"/>
        </w:rPr>
        <w:t>Administrative Agent may request the Borrower to exercise such rights, and the Borrower shall comply with any such reasonable request to exercise inspection and audit rights.</w:t>
      </w:r>
    </w:p>
    <w:p>
      <w:pPr>
        <w:spacing w:after="0" w:line="127" w:lineRule="exact"/>
        <w:rPr>
          <w:sz w:val="20"/>
          <w:szCs w:val="20"/>
          <w:color w:val="auto"/>
        </w:rPr>
      </w:pPr>
    </w:p>
    <w:p>
      <w:pPr>
        <w:jc w:val="both"/>
        <w:ind w:firstLine="513"/>
        <w:spacing w:after="0" w:line="221" w:lineRule="auto"/>
        <w:tabs>
          <w:tab w:leader="none" w:pos="101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the Administrative Agent or any Lender, Navan, the Borrower and certain of their officers with primary responsibility for capital markets activities shall in January 2026, upon reasonable advance notice, participate in a teleconference with the Lenders to discuss progress and remediation plans for previously discussed reporting and related issues.</w:t>
      </w:r>
    </w:p>
    <w:p>
      <w:pPr>
        <w:spacing w:after="0" w:line="126" w:lineRule="exact"/>
        <w:rPr>
          <w:rFonts w:ascii="Times New Roman" w:cs="Times New Roman" w:eastAsia="Times New Roman" w:hAnsi="Times New Roman"/>
          <w:sz w:val="16"/>
          <w:szCs w:val="16"/>
          <w:color w:val="auto"/>
        </w:rPr>
      </w:pPr>
    </w:p>
    <w:p>
      <w:pPr>
        <w:jc w:val="both"/>
        <w:ind w:left="-500" w:firstLine="503"/>
        <w:spacing w:after="0" w:line="216" w:lineRule="auto"/>
        <w:tabs>
          <w:tab w:leader="none" w:pos="51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It shall use the proceeds of the initial Advance made hereunder solely (i) to fund or pay the purchase price of Eligible Receivables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acquired by the Borrower from the Seller pursuant to the Receivables Purchase Agreement and all costs and expenses in connection with the transactions pursuant to Section 12.04(a) hereof; and (ii) for general working capital and corporate purposes permitted under the Facility Documents. 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16" w:lineRule="exact"/>
        <w:rPr>
          <w:rFonts w:ascii="Times New Roman" w:cs="Times New Roman" w:eastAsia="Times New Roman" w:hAnsi="Times New Roman"/>
          <w:sz w:val="16"/>
          <w:szCs w:val="16"/>
          <w:color w:val="auto"/>
        </w:rPr>
      </w:pPr>
    </w:p>
    <w:p>
      <w:pPr>
        <w:ind w:left="500" w:hanging="497"/>
        <w:spacing w:after="0"/>
        <w:tabs>
          <w:tab w:leader="none" w:pos="5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Monthly Report; Backup Servicer Report</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firstLine="513"/>
        <w:spacing w:after="0" w:line="239" w:lineRule="auto"/>
        <w:tabs>
          <w:tab w:leader="none" w:pos="101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provide (or cause to be compiled and provided) to the Administrative Agent, the Class B Representative and the Backup Servicer (from and after the first date upon which the Backup Servicing Agreement is in effect) a monthly report (each, a “</w:t>
      </w:r>
      <w:r>
        <w:rPr>
          <w:rFonts w:ascii="Times New Roman" w:cs="Times New Roman" w:eastAsia="Times New Roman" w:hAnsi="Times New Roman"/>
          <w:sz w:val="14"/>
          <w:szCs w:val="14"/>
          <w:i w:val="1"/>
          <w:iCs w:val="1"/>
          <w:color w:val="auto"/>
        </w:rPr>
        <w:t>Monthly Report</w:t>
      </w:r>
      <w:r>
        <w:rPr>
          <w:rFonts w:ascii="Times New Roman" w:cs="Times New Roman" w:eastAsia="Times New Roman" w:hAnsi="Times New Roman"/>
          <w:sz w:val="14"/>
          <w:szCs w:val="14"/>
          <w:color w:val="auto"/>
        </w:rPr>
        <w:t xml:space="preserve">”) for the previous Collection Period no later than 1:00 p.m. on each Monthly Reporting Date. The Monthly Report delivered for any Collection Period shall contain the information with respect to the Eligible Receivables included in the Collateral set forth in </w:t>
      </w:r>
      <w:r>
        <w:rPr>
          <w:rFonts w:ascii="Times New Roman" w:cs="Times New Roman" w:eastAsia="Times New Roman" w:hAnsi="Times New Roman"/>
          <w:sz w:val="14"/>
          <w:szCs w:val="14"/>
          <w:u w:val="single" w:color="auto"/>
          <w:color w:val="auto"/>
        </w:rPr>
        <w:t>Schedule 5</w:t>
      </w:r>
      <w:r>
        <w:rPr>
          <w:rFonts w:ascii="Times New Roman" w:cs="Times New Roman" w:eastAsia="Times New Roman" w:hAnsi="Times New Roman"/>
          <w:sz w:val="14"/>
          <w:szCs w:val="14"/>
          <w:color w:val="auto"/>
        </w:rPr>
        <w:t xml:space="preserve"> hereto (including, a Data Tape and a calculation of the Class A Maximum Available Amount and the Class B Maximum Available Amount), and shall be determined as of the last day of the Collection Period applicable to such Monthly Reporting Date. Each Monthly Report shall also include a Borrowing Base Certificate as well as the calculation of the Three-Month Rolling Delinquency Ratio, the Default Ratio, the Excess Spread Ratio, the Three-Month Rolling Average Default Ratio, the Three-Month Rolling Average Excess Spread Ratio and the Six-Month Rolling Average Excess Spread Ratio, in each case, as determined as of the last day of the Collection Period applicable to such Monthly Reporting Date.</w:t>
      </w:r>
    </w:p>
    <w:p>
      <w:pPr>
        <w:spacing w:after="0" w:line="128" w:lineRule="exact"/>
        <w:rPr>
          <w:rFonts w:ascii="Times New Roman" w:cs="Times New Roman" w:eastAsia="Times New Roman" w:hAnsi="Times New Roman"/>
          <w:sz w:val="14"/>
          <w:szCs w:val="14"/>
          <w:color w:val="auto"/>
        </w:rPr>
      </w:pPr>
    </w:p>
    <w:p>
      <w:pPr>
        <w:jc w:val="both"/>
        <w:ind w:firstLine="513"/>
        <w:spacing w:after="0" w:line="252" w:lineRule="auto"/>
        <w:tabs>
          <w:tab w:leader="none" w:pos="101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five (5) Business Days of delivery of each Monthly Report (beginning from and after the first date upon which the Backup Servicing Agreement is in effect), the Borrower shall also deliver, or caused to be delivered, to the Administrative Agent and the Class B Representative, the Backup Servicer Report. Each delivery of a Monthly Report shall be deemed a representation and warranty by the Borrower that each of the Eligible Receivables set forth therein satisfies each of the criteria set forth in the definition of Eligible Receivable as of the last day of the relevant Collection Period covered by such Monthly Report.</w:t>
      </w:r>
    </w:p>
    <w:p>
      <w:pPr>
        <w:spacing w:after="0" w:line="117" w:lineRule="exact"/>
        <w:rPr>
          <w:rFonts w:ascii="Times New Roman" w:cs="Times New Roman" w:eastAsia="Times New Roman" w:hAnsi="Times New Roman"/>
          <w:sz w:val="14"/>
          <w:szCs w:val="14"/>
          <w:color w:val="auto"/>
        </w:rPr>
      </w:pPr>
    </w:p>
    <w:p>
      <w:pPr>
        <w:jc w:val="both"/>
        <w:ind w:left="-500" w:firstLine="503"/>
        <w:spacing w:after="0" w:line="222" w:lineRule="auto"/>
        <w:tabs>
          <w:tab w:leader="none" w:pos="50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Proceedings</w:t>
      </w:r>
      <w:r>
        <w:rPr>
          <w:rFonts w:ascii="Times New Roman" w:cs="Times New Roman" w:eastAsia="Times New Roman" w:hAnsi="Times New Roman"/>
          <w:sz w:val="16"/>
          <w:szCs w:val="16"/>
          <w:color w:val="auto"/>
        </w:rPr>
        <w:t>. It shall provide written notice to the Administrative Agent of the occurrence of any proceeding, action, litigation or investigation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pending before any Governmental Authority, or, to the actual knowledge of the Borrower, any non-frivolous threat thereof against the Borrower, which, if adversely determined, could reasonably be expected to have a Material Adverse Effect on the Borrower, within two (2) Business Days of the occurrence</w:t>
      </w:r>
    </w:p>
    <w:p>
      <w:pPr>
        <w:sectPr>
          <w:pgSz w:w="11900" w:h="16838" w:orient="portrait"/>
          <w:cols w:equalWidth="0" w:num="1">
            <w:col w:w="10260"/>
          </w:cols>
          <w:pgMar w:left="1320" w:top="1129" w:right="319" w:bottom="1440" w:gutter="0" w:footer="0" w:header="0"/>
        </w:sectPr>
      </w:pPr>
    </w:p>
    <w:bookmarkStart w:id="277" w:name="page278"/>
    <w:bookmarkEnd w:id="277"/>
    <w:p>
      <w:pPr>
        <w:spacing w:after="0" w:line="235" w:lineRule="auto"/>
        <w:rPr>
          <w:sz w:val="20"/>
          <w:szCs w:val="20"/>
          <w:color w:val="auto"/>
        </w:rPr>
      </w:pPr>
      <w:r>
        <w:rPr>
          <w:rFonts w:ascii="Times New Roman" w:cs="Times New Roman" w:eastAsia="Times New Roman" w:hAnsi="Times New Roman"/>
          <w:sz w:val="16"/>
          <w:szCs w:val="16"/>
          <w:color w:val="auto"/>
        </w:rPr>
        <w:t>of any such pending proceeding, action, litigation or investigation or within two (2) Business Days upon becoming aware of any such non frivolous threat of such proceeding, action, litigation or investigation.</w:t>
      </w:r>
    </w:p>
    <w:p>
      <w:pPr>
        <w:spacing w:after="0" w:line="115" w:lineRule="exact"/>
        <w:rPr>
          <w:sz w:val="20"/>
          <w:szCs w:val="20"/>
          <w:color w:val="auto"/>
        </w:rPr>
      </w:pPr>
    </w:p>
    <w:p>
      <w:pPr>
        <w:jc w:val="both"/>
        <w:ind w:firstLine="503"/>
        <w:spacing w:after="0" w:line="216" w:lineRule="auto"/>
        <w:tabs>
          <w:tab w:leader="none" w:pos="101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Other Business</w:t>
      </w:r>
      <w:r>
        <w:rPr>
          <w:rFonts w:ascii="Times New Roman" w:cs="Times New Roman" w:eastAsia="Times New Roman" w:hAnsi="Times New Roman"/>
          <w:sz w:val="16"/>
          <w:szCs w:val="16"/>
          <w:color w:val="auto"/>
        </w:rPr>
        <w:t>. The Borrower shall not engage in any business or activity other than borrowing Advances pursuant to this Agreement, funding,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acquiring, owning, holding, administering, selling, enforcing, exchanging, redeeming, pledging, contracting for the management of and otherwise dealing with Receivables and the other Collateral in connection therewith and entering into the Facility Documents, any applicable Related Documents and any other agreements contemplated by this Agreement, and shall not engage in any other activity or take any other action that would cause the Borrower to be subject to U.S. federal, state or local income tax on a net income basis.</w:t>
      </w:r>
    </w:p>
    <w:p>
      <w:pPr>
        <w:spacing w:after="0" w:line="126" w:lineRule="exact"/>
        <w:rPr>
          <w:rFonts w:ascii="Times New Roman" w:cs="Times New Roman" w:eastAsia="Times New Roman" w:hAnsi="Times New Roman"/>
          <w:sz w:val="16"/>
          <w:szCs w:val="16"/>
          <w:color w:val="auto"/>
        </w:rPr>
      </w:pPr>
    </w:p>
    <w:p>
      <w:pPr>
        <w:jc w:val="both"/>
        <w:ind w:firstLine="503"/>
        <w:spacing w:after="0" w:line="218" w:lineRule="auto"/>
        <w:tabs>
          <w:tab w:leader="none" w:pos="101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Matters</w:t>
      </w:r>
      <w:r>
        <w:rPr>
          <w:rFonts w:ascii="Times New Roman" w:cs="Times New Roman" w:eastAsia="Times New Roman" w:hAnsi="Times New Roman"/>
          <w:sz w:val="16"/>
          <w:szCs w:val="16"/>
          <w:color w:val="auto"/>
        </w:rPr>
        <w:t>. The Borrower and each Lender hereby agrees to treat the Advances as debt for U.S. federal income tax purposes and will take no contrary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 except to the extent that a Governmental Authority makes a determination that the Advances may not be treated as debt for such purposes. The Borrower shall at all times maintain its status as a “disregarded entity” for U.S. federal income tax purposes. The Borrower shall at all times ensure that each owner thereof is and will remain a U.S. Person.</w:t>
      </w:r>
    </w:p>
    <w:p>
      <w:pPr>
        <w:spacing w:after="0" w:line="116" w:lineRule="exact"/>
        <w:rPr>
          <w:rFonts w:ascii="Times New Roman" w:cs="Times New Roman" w:eastAsia="Times New Roman" w:hAnsi="Times New Roman"/>
          <w:sz w:val="16"/>
          <w:szCs w:val="16"/>
          <w:color w:val="auto"/>
        </w:rPr>
      </w:pPr>
    </w:p>
    <w:p>
      <w:pPr>
        <w:jc w:val="both"/>
        <w:ind w:firstLine="503"/>
        <w:spacing w:after="0" w:line="207" w:lineRule="auto"/>
        <w:tabs>
          <w:tab w:leader="none" w:pos="100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Collections</w:t>
      </w:r>
      <w:r>
        <w:rPr>
          <w:rFonts w:ascii="Times New Roman" w:cs="Times New Roman" w:eastAsia="Times New Roman" w:hAnsi="Times New Roman"/>
          <w:sz w:val="16"/>
          <w:szCs w:val="16"/>
          <w:color w:val="auto"/>
        </w:rPr>
        <w:t>. The Borrower shall, and shall cause the Servicer to, pay and deposit all Collections on the Receivables to the applicable Collection Account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receipt. The Borrower shall also cause the Servicer to direct the Obligors’ Collections to be made directly by the applicable payment processor(s) into applicable Collection Account. If for any reason the Borrower or the Servicer or any of the Servicer’s Affiliates receives any Collections, the Borrower or the Servicer or such Servicer’s Affiliate, as applicable, shall deposit such Collections directly into the applicable Collection Account within two (2) Business Days (or, solely in the case of the first two (2) calendar months following the Closing Date, three (3) Business Days) following the receipt thereof. Any such Collections received by the Borrower, the Servicer or such Servicer’s Affiliate while in the possession of the Borrower, the Servicer or such Servicer’s Affiliate shall be held in trust for the benefit of the Secured Parties and, other than in respect of Revenue Share, shall not be deposited in any bank or other securities account other than the Collection Accounts. Two (2) Business Days prior to each Payment Date, the Borrower shall cause the Servicer to move or be deemed to move in accordance with the Letter Agreement the Dollar Equivalent of all Collections on the Receivables owned by the Borrower in the English Collection Accounts into the Dollar Collection Account to be applied in accordance with Section 9.01. The Borrower shall ensure that no Person, other than as contemplated by and subject to this Agreement, has been granted dominion and control of the Collection Accounts or the Reserve Account, or the right to take dominion and control of the Collection Accounts or the Reserve Account at a future time or upon the occurrence of a future event.</w:t>
      </w:r>
    </w:p>
    <w:p>
      <w:pPr>
        <w:spacing w:after="0" w:line="12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Priority of Payments</w:t>
      </w:r>
      <w:r>
        <w:rPr>
          <w:rFonts w:ascii="Times New Roman" w:cs="Times New Roman" w:eastAsia="Times New Roman" w:hAnsi="Times New Roman"/>
          <w:sz w:val="16"/>
          <w:szCs w:val="16"/>
          <w:color w:val="auto"/>
        </w:rPr>
        <w:t>. The Borrower shall ensure all Collections are applied solely in accordance with Section 9.01 and the other provisions of this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114" w:lineRule="exact"/>
        <w:rPr>
          <w:rFonts w:ascii="Times New Roman" w:cs="Times New Roman" w:eastAsia="Times New Roman" w:hAnsi="Times New Roman"/>
          <w:sz w:val="16"/>
          <w:szCs w:val="16"/>
          <w:color w:val="auto"/>
        </w:rPr>
      </w:pPr>
    </w:p>
    <w:p>
      <w:pPr>
        <w:jc w:val="both"/>
        <w:ind w:firstLine="503"/>
        <w:spacing w:after="0" w:line="216" w:lineRule="auto"/>
        <w:tabs>
          <w:tab w:leader="none" w:pos="101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Borrower May Own Ineligible Receivables</w:t>
      </w:r>
      <w:r>
        <w:rPr>
          <w:rFonts w:ascii="Times New Roman" w:cs="Times New Roman" w:eastAsia="Times New Roman" w:hAnsi="Times New Roman"/>
          <w:sz w:val="16"/>
          <w:szCs w:val="16"/>
          <w:color w:val="auto"/>
        </w:rPr>
        <w:t>. For the avoidance of doubt, nothing in this Agreement shall prevent Borrower from purchasing Ineligible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Receivables under the Receivables Purchase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proceeds of Advances shall not be utilized to pay the purchase price for Receivables which are Ineligible Receivables as of the related Purchase Date; (ii) such purchase will not result in the occurrence of an Unmatured Event of Default or Event of Default or trigger an Accelerated Amortization Event; and (iii) no Unmatured Event of Default, Event of Default or Accelerated Amortization Event has occurred and remains continuing at the time of such purchase.</w:t>
      </w:r>
    </w:p>
    <w:p>
      <w:pPr>
        <w:spacing w:after="0" w:line="126"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Solvency</w:t>
      </w:r>
      <w:r>
        <w:rPr>
          <w:rFonts w:ascii="Times New Roman" w:cs="Times New Roman" w:eastAsia="Times New Roman" w:hAnsi="Times New Roman"/>
          <w:sz w:val="16"/>
          <w:szCs w:val="16"/>
          <w:color w:val="auto"/>
        </w:rPr>
        <w:t>. After giving effect to each Advance hereunder, and the disbursement of the proceeds of such Advance, the Borrower is Solvent.</w:t>
      </w:r>
    </w:p>
    <w:p>
      <w:pPr>
        <w:spacing w:after="0" w:line="134"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Insolvency Events</w:t>
      </w:r>
      <w:r>
        <w:rPr>
          <w:rFonts w:ascii="Times New Roman" w:cs="Times New Roman" w:eastAsia="Times New Roman" w:hAnsi="Times New Roman"/>
          <w:sz w:val="14"/>
          <w:szCs w:val="14"/>
          <w:color w:val="auto"/>
        </w:rPr>
        <w:t>. The Borrower shall timely object to all proceedings of the type described in clause (ii) of the definition of “Insolvency Event” instituted</w:t>
      </w:r>
    </w:p>
    <w:p>
      <w:pPr>
        <w:spacing w:after="0" w:line="1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against it.</w:t>
      </w:r>
    </w:p>
    <w:p>
      <w:pPr>
        <w:sectPr>
          <w:pgSz w:w="11900" w:h="16838" w:orient="portrait"/>
          <w:cols w:equalWidth="0" w:num="1">
            <w:col w:w="10760"/>
          </w:cols>
          <w:pgMar w:left="820" w:top="1129" w:right="319" w:bottom="1440" w:gutter="0" w:footer="0" w:header="0"/>
        </w:sectPr>
      </w:pPr>
    </w:p>
    <w:bookmarkStart w:id="278" w:name="page279"/>
    <w:bookmarkEnd w:id="278"/>
    <w:p>
      <w:pPr>
        <w:jc w:val="both"/>
        <w:ind w:left="520" w:firstLine="503"/>
        <w:spacing w:after="0" w:line="216" w:lineRule="auto"/>
        <w:tabs>
          <w:tab w:leader="none" w:pos="1529"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Insurance</w:t>
      </w:r>
      <w:r>
        <w:rPr>
          <w:rFonts w:ascii="Times New Roman" w:cs="Times New Roman" w:eastAsia="Times New Roman" w:hAnsi="Times New Roman"/>
          <w:sz w:val="16"/>
          <w:szCs w:val="16"/>
          <w:color w:val="auto"/>
        </w:rPr>
        <w:t>. The Borrower shall maintain, or cause to be maintained (which for the avoidance of doubt may be maintained by way of the Borrower having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been named as a “named insured” under an insurance policy maintained by Navan), insurance with financially sound and reputable insurers reasonably acceptable to the Administrative Agent providing coverages for (i) comprehensive “all risk” or special causes of loss form insurance, (ii) commercial general liability insurance, (iii) if applicable, worker’s compensation and employer’s liability subject to the worker’s compensation and employer liability laws of the applicable state and (iv) umbrella and excess liability insurance in an amount not less than $5,000,000 per occurrence.</w:t>
      </w:r>
    </w:p>
    <w:p>
      <w:pPr>
        <w:spacing w:after="0" w:line="116" w:lineRule="exact"/>
        <w:rPr>
          <w:rFonts w:ascii="Times New Roman" w:cs="Times New Roman" w:eastAsia="Times New Roman" w:hAnsi="Times New Roman"/>
          <w:sz w:val="16"/>
          <w:szCs w:val="16"/>
          <w:color w:val="auto"/>
        </w:rPr>
      </w:pPr>
    </w:p>
    <w:p>
      <w:pPr>
        <w:jc w:val="both"/>
        <w:ind w:left="520" w:firstLine="503"/>
        <w:spacing w:after="0" w:line="227" w:lineRule="auto"/>
        <w:tabs>
          <w:tab w:leader="none" w:pos="1529"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Backup Servicing Agreement. </w:t>
      </w:r>
      <w:r>
        <w:rPr>
          <w:rFonts w:ascii="Times New Roman" w:cs="Times New Roman" w:eastAsia="Times New Roman" w:hAnsi="Times New Roman"/>
          <w:sz w:val="16"/>
          <w:szCs w:val="16"/>
          <w:color w:val="auto"/>
        </w:rPr>
        <w:t>By no later than the sixty (60)-day anniversary of the Closing Date (provided that such period can be extended an additional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thirty (30) days if the Borrower is negotiating in good faith), the Borrower shall have executed and delivered to the Administrative Agent, and shall have caused the Servicer to execute and deliver to the Administrative Agent, the Backup Servicing Agreement.</w:t>
      </w:r>
    </w:p>
    <w:p>
      <w:pPr>
        <w:spacing w:after="0" w:line="148"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periodic reporting deliverables with respect to this Section 5.01 and the Servicing Agreement are set forth in Schedule 9 hereto.</w:t>
      </w:r>
    </w:p>
    <w:p>
      <w:pPr>
        <w:spacing w:after="0" w:line="152"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i w:val="1"/>
          <w:iCs w:val="1"/>
          <w:color w:val="auto"/>
        </w:rPr>
        <w:t xml:space="preserve">Section 438.02 Negative Covenants of the Borrower. </w:t>
      </w:r>
      <w:r>
        <w:rPr>
          <w:rFonts w:ascii="Times New Roman" w:cs="Times New Roman" w:eastAsia="Times New Roman" w:hAnsi="Times New Roman"/>
          <w:sz w:val="14"/>
          <w:szCs w:val="14"/>
          <w:color w:val="auto"/>
        </w:rPr>
        <w:t>The Borrower covenants and agrees that, until the Final Maturity Date (and thereafter until the date that all Obligations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been paid in full (other than contingent indemnity obligations not yet due and owing)):</w:t>
      </w:r>
    </w:p>
    <w:p>
      <w:pPr>
        <w:spacing w:after="0" w:line="114" w:lineRule="exact"/>
        <w:rPr>
          <w:sz w:val="20"/>
          <w:szCs w:val="20"/>
          <w:color w:val="auto"/>
        </w:rPr>
      </w:pPr>
    </w:p>
    <w:p>
      <w:pPr>
        <w:jc w:val="both"/>
        <w:ind w:left="520" w:firstLine="503"/>
        <w:spacing w:after="0" w:line="222" w:lineRule="auto"/>
        <w:tabs>
          <w:tab w:leader="none" w:pos="1531"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Restrictive Agreements</w:t>
      </w:r>
      <w:r>
        <w:rPr>
          <w:rFonts w:ascii="Times New Roman" w:cs="Times New Roman" w:eastAsia="Times New Roman" w:hAnsi="Times New Roman"/>
          <w:sz w:val="16"/>
          <w:szCs w:val="16"/>
          <w:color w:val="auto"/>
        </w:rPr>
        <w:t>. It shall not enter into or suffer to exist or become effective any agreement that prohibits, limits or imposes any condition upon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26" w:lineRule="exact"/>
        <w:rPr>
          <w:rFonts w:ascii="Times New Roman" w:cs="Times New Roman" w:eastAsia="Times New Roman" w:hAnsi="Times New Roman"/>
          <w:sz w:val="16"/>
          <w:szCs w:val="16"/>
          <w:color w:val="auto"/>
        </w:rPr>
      </w:pPr>
    </w:p>
    <w:p>
      <w:pPr>
        <w:jc w:val="both"/>
        <w:ind w:left="520" w:firstLine="503"/>
        <w:spacing w:after="0" w:line="216" w:lineRule="auto"/>
        <w:tabs>
          <w:tab w:leader="none" w:pos="1529"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Liquidation; Merger; Sale of Collateral</w:t>
      </w:r>
      <w:r>
        <w:rPr>
          <w:rFonts w:ascii="Times New Roman" w:cs="Times New Roman" w:eastAsia="Times New Roman" w:hAnsi="Times New Roman"/>
          <w:sz w:val="16"/>
          <w:szCs w:val="16"/>
          <w:color w:val="auto"/>
        </w:rPr>
        <w:t>. It shall not consummate any plan of liquidation, dissolution, partial liquidation, merger or consolidation (or suffer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liquidation, dissolution or partial liquidation) nor sell, transfer, exchange or otherwise dispose of any of its assets, or enter into an agreement or commitment to do so or enter into or engage in any business with respect to any part of its assets, nor undertake any division or plan of division under Delaware law (or any comparable event under a different jurisdiction’s laws), except as expressly permitted by this Agreement and the other Facility Documents (including in connection with the repayment in full of the Obligations or a Permitted Sale).</w:t>
      </w:r>
    </w:p>
    <w:p>
      <w:pPr>
        <w:spacing w:after="0" w:line="11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Amendments to Constituent Documents and Facility Documents</w:t>
      </w:r>
      <w:r>
        <w:rPr>
          <w:rFonts w:ascii="Times New Roman" w:cs="Times New Roman" w:eastAsia="Times New Roman" w:hAnsi="Times New Roman"/>
          <w:sz w:val="14"/>
          <w:szCs w:val="14"/>
          <w:color w:val="auto"/>
        </w:rPr>
        <w:t>. Without the written consent of the Administrative Agent and the Class B Representative,</w:t>
      </w:r>
    </w:p>
    <w:p>
      <w:pPr>
        <w:spacing w:after="0" w:line="18" w:lineRule="exact"/>
        <w:rPr>
          <w:rFonts w:ascii="Times New Roman" w:cs="Times New Roman" w:eastAsia="Times New Roman" w:hAnsi="Times New Roman"/>
          <w:sz w:val="14"/>
          <w:szCs w:val="14"/>
          <w:color w:val="auto"/>
        </w:rPr>
      </w:pPr>
    </w:p>
    <w:p>
      <w:pPr>
        <w:jc w:val="both"/>
        <w:ind w:left="520" w:hanging="6"/>
        <w:spacing w:after="0" w:line="211" w:lineRule="auto"/>
        <w:tabs>
          <w:tab w:leader="none" w:pos="72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shall not amend, modify or take any action inconsistent with its Constituent Documents other than as permitted under Section 5.02(h) or any other amendment or modification of its Constituent Documents that could not reasonably be expected to adversely affect the rights of the Administrative Agent or any Lender hereunder or under any other Facility Document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any amendments or modifications relating to the Independent Manager shall be subject to the Administrative Agent’s prior written consent), and (ii) it shall not amend, modify or waive any term or provision in any Facility Document, or cause or permit any term or provision in any Facility Document to be amended, modified or waived.</w:t>
      </w:r>
    </w:p>
    <w:p>
      <w:pPr>
        <w:spacing w:after="0" w:line="115" w:lineRule="exact"/>
        <w:rPr>
          <w:rFonts w:ascii="Times New Roman" w:cs="Times New Roman" w:eastAsia="Times New Roman" w:hAnsi="Times New Roman"/>
          <w:sz w:val="16"/>
          <w:szCs w:val="16"/>
          <w:color w:val="auto"/>
        </w:rPr>
      </w:pPr>
    </w:p>
    <w:p>
      <w:pPr>
        <w:jc w:val="both"/>
        <w:ind w:left="520" w:firstLine="503"/>
        <w:spacing w:after="0" w:line="227" w:lineRule="auto"/>
        <w:tabs>
          <w:tab w:leader="none" w:pos="1529"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ERISA</w:t>
      </w:r>
      <w:r>
        <w:rPr>
          <w:rFonts w:ascii="Times New Roman" w:cs="Times New Roman" w:eastAsia="Times New Roman" w:hAnsi="Times New Roman"/>
          <w:sz w:val="16"/>
          <w:szCs w:val="16"/>
          <w:color w:val="auto"/>
        </w:rPr>
        <w:t>. Neither it nor, except as would not reasonably be expected to have a Material Adverse Effect or result in any Lien under ERISA or Code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430(k), any member of the ERISA Group shall establish any Plan or Multiemployer Plan or incur any liability with regard to a Plan or Multiemployer Plan (including any actual liability on account of a member of the ERISA Group).</w:t>
      </w:r>
    </w:p>
    <w:p>
      <w:pPr>
        <w:sectPr>
          <w:pgSz w:w="11900" w:h="16838" w:orient="portrait"/>
          <w:cols w:equalWidth="0" w:num="1">
            <w:col w:w="11280"/>
          </w:cols>
          <w:pgMar w:left="300" w:top="1126" w:right="319" w:bottom="1440" w:gutter="0" w:footer="0" w:header="0"/>
        </w:sectPr>
      </w:pPr>
    </w:p>
    <w:bookmarkStart w:id="279" w:name="page280"/>
    <w:bookmarkEnd w:id="279"/>
    <w:p>
      <w:pPr>
        <w:ind w:left="-503" w:firstLine="503"/>
        <w:spacing w:after="0" w:line="237" w:lineRule="auto"/>
        <w:tabs>
          <w:tab w:leader="none" w:pos="50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Liens</w:t>
      </w:r>
      <w:r>
        <w:rPr>
          <w:rFonts w:ascii="Times New Roman" w:cs="Times New Roman" w:eastAsia="Times New Roman" w:hAnsi="Times New Roman"/>
          <w:sz w:val="16"/>
          <w:szCs w:val="16"/>
          <w:color w:val="auto"/>
        </w:rPr>
        <w:t>. It shall not create, assume or suffer to exist any Lien on any of its assets now owned or hereafter acquired by it at any time, except for Permitted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Liens or as otherwise expressly permitted by this Agreement and the other Facility Documents.</w:t>
      </w:r>
    </w:p>
    <w:p>
      <w:pPr>
        <w:spacing w:after="0" w:line="114" w:lineRule="exact"/>
        <w:rPr>
          <w:rFonts w:ascii="Times New Roman" w:cs="Times New Roman" w:eastAsia="Times New Roman" w:hAnsi="Times New Roman"/>
          <w:sz w:val="16"/>
          <w:szCs w:val="16"/>
          <w:color w:val="auto"/>
        </w:rPr>
      </w:pPr>
    </w:p>
    <w:p>
      <w:pPr>
        <w:jc w:val="both"/>
        <w:ind w:left="-503" w:firstLine="503"/>
        <w:spacing w:after="0" w:line="269" w:lineRule="auto"/>
        <w:tabs>
          <w:tab w:leader="none" w:pos="51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Margin Requirements</w:t>
      </w:r>
      <w:r>
        <w:rPr>
          <w:rFonts w:ascii="Times New Roman" w:cs="Times New Roman" w:eastAsia="Times New Roman" w:hAnsi="Times New Roman"/>
          <w:sz w:val="14"/>
          <w:szCs w:val="14"/>
          <w:color w:val="auto"/>
        </w:rPr>
        <w:t>. It shall not (i) extend credit to others for the purpose of buying or carrying any Margin Stock in such a manner as to violate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95" w:lineRule="exact"/>
        <w:rPr>
          <w:rFonts w:ascii="Times New Roman" w:cs="Times New Roman" w:eastAsia="Times New Roman" w:hAnsi="Times New Roman"/>
          <w:sz w:val="14"/>
          <w:szCs w:val="14"/>
          <w:color w:val="auto"/>
        </w:rPr>
      </w:pPr>
    </w:p>
    <w:p>
      <w:pPr>
        <w:jc w:val="both"/>
        <w:ind w:left="-503" w:firstLine="503"/>
        <w:spacing w:after="0" w:line="218" w:lineRule="auto"/>
        <w:tabs>
          <w:tab w:leader="none" w:pos="50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Payments</w:t>
      </w:r>
      <w:r>
        <w:rPr>
          <w:rFonts w:ascii="Times New Roman" w:cs="Times New Roman" w:eastAsia="Times New Roman" w:hAnsi="Times New Roman"/>
          <w:sz w:val="16"/>
          <w:szCs w:val="16"/>
          <w:color w:val="auto"/>
        </w:rPr>
        <w:t>. It shall not make, directly or indirectly, any Restricted Payment (whether in the form of cash or other assets) or incur any obligation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(contingent or otherwise) to do so;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Borrower shall be permitted to make Restricted Payments (i) from funds distributed to it pursuant to Section 9.01 and (ii) provided no Unmatured Event of Default or Event of Default has occurred and is continuing, from funds on deposit in the Dollar Collection Account constituting Revenue Share in respect of any Receivable that is not an Eligible Receivable and that has never been an Eligible Receivable.</w:t>
      </w:r>
    </w:p>
    <w:p>
      <w:pPr>
        <w:spacing w:after="0" w:line="127" w:lineRule="exact"/>
        <w:rPr>
          <w:rFonts w:ascii="Times New Roman" w:cs="Times New Roman" w:eastAsia="Times New Roman" w:hAnsi="Times New Roman"/>
          <w:sz w:val="16"/>
          <w:szCs w:val="16"/>
          <w:color w:val="auto"/>
        </w:rPr>
      </w:pPr>
    </w:p>
    <w:p>
      <w:pPr>
        <w:jc w:val="both"/>
        <w:ind w:left="-503" w:firstLine="503"/>
        <w:spacing w:after="0" w:line="242" w:lineRule="auto"/>
        <w:tabs>
          <w:tab w:leader="none" w:pos="505"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to Corporate Information</w:t>
      </w:r>
      <w:r>
        <w:rPr>
          <w:rFonts w:ascii="Times New Roman" w:cs="Times New Roman" w:eastAsia="Times New Roman" w:hAnsi="Times New Roman"/>
          <w:sz w:val="14"/>
          <w:szCs w:val="14"/>
          <w:color w:val="auto"/>
        </w:rPr>
        <w:t>. Without not less than thirty (30) days’ prior written notice to the Administrative Agent (or such shorter period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Agent may agree in writing), the Borrower shall not change (a) its corporate name, (b) the location of its chief executive office, its principal place of business, or the location of any office in which it maintains books or records relating to Collateral owned by it or any office or facility at which Collateral owned by it is located (including the establishment of any such new office or facility), (c) its identity, jurisdiction of organization or organizational structure or (d) its tax identification number, as applicable, and, in any event, no such change shall be effected or permitted unless all filings have been made (or will be made on a timely basis) under Applicable Laws or otherwise and all other actions have been taken (or will be taken on a timely basis) that are required in order for the Administrative Agent to continue at all times following such change to have a valid, legal and perfected security interest in all the Collateral, in each case, at the sole cost and expense of the Borrower.</w:t>
      </w:r>
    </w:p>
    <w:p>
      <w:pPr>
        <w:spacing w:after="0" w:line="126" w:lineRule="exact"/>
        <w:rPr>
          <w:rFonts w:ascii="Times New Roman" w:cs="Times New Roman" w:eastAsia="Times New Roman" w:hAnsi="Times New Roman"/>
          <w:sz w:val="14"/>
          <w:szCs w:val="14"/>
          <w:color w:val="auto"/>
        </w:rPr>
      </w:pPr>
    </w:p>
    <w:p>
      <w:pPr>
        <w:jc w:val="both"/>
        <w:ind w:left="-503" w:firstLine="503"/>
        <w:spacing w:after="0" w:line="213" w:lineRule="auto"/>
        <w:tabs>
          <w:tab w:leader="none" w:pos="51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Transactions with Affiliates</w:t>
      </w:r>
      <w:r>
        <w:rPr>
          <w:rFonts w:ascii="Times New Roman" w:cs="Times New Roman" w:eastAsia="Times New Roman" w:hAnsi="Times New Roman"/>
          <w:sz w:val="16"/>
          <w:szCs w:val="16"/>
          <w:color w:val="auto"/>
        </w:rPr>
        <w:t>. It shall not sell, lease or otherwise transfer any property or assets to (other than in accordance with clause (g) above),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purchase, lease or otherwise acquire any property or assets from, or otherwise engage in any other transactions with, any of its Affiliates (including sales of Defaulted Receivables and other Ineligible Receivables) except as expressly contemplated by this Agreement and the other Facility Documents, unless such transaction is upon terms no less favorable to the Borrower than it would obtain in a comparable arm’s length transaction with a Person that is not an Affiliate;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purchase or sale at par shall be deemed to comply with this Section 5.02(i).</w:t>
      </w:r>
    </w:p>
    <w:p>
      <w:pPr>
        <w:spacing w:after="0" w:line="127" w:lineRule="exact"/>
        <w:rPr>
          <w:rFonts w:ascii="Times New Roman" w:cs="Times New Roman" w:eastAsia="Times New Roman" w:hAnsi="Times New Roman"/>
          <w:sz w:val="16"/>
          <w:szCs w:val="16"/>
          <w:color w:val="auto"/>
        </w:rPr>
      </w:pPr>
    </w:p>
    <w:p>
      <w:pPr>
        <w:jc w:val="both"/>
        <w:ind w:left="-503" w:firstLine="503"/>
        <w:spacing w:after="0" w:line="212" w:lineRule="auto"/>
        <w:tabs>
          <w:tab w:leader="none" w:pos="51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Amendments to Credit Policies,Collection Policy, Program Provider Agreements and Originating Bank Agreements. </w:t>
      </w:r>
      <w:r>
        <w:rPr>
          <w:rFonts w:ascii="Times New Roman" w:cs="Times New Roman" w:eastAsia="Times New Roman" w:hAnsi="Times New Roman"/>
          <w:sz w:val="16"/>
          <w:szCs w:val="16"/>
          <w:color w:val="auto"/>
        </w:rPr>
        <w:t>The Borrower shall not make, and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permit or cause any Originator, the Seller or the Servicer, as applicable, to make any amendment, modification or supplement to any Credit Policy, Collection Policy, Program Provider Agreement or Originating Bank Agreement that would materially and adversely affect the rights or interests of the Lenders without the prior consent of the Administrative Agent (at the direction of the Required Lenders and the Required Class B Lenders). The Administrative Agent shall work diligently in good faith to review and respond to any such proposed changes to any Credit Policy or Collection Policy, or any proposed amendments to any Program Provider Agreement or Originating Bank Agreement, in a commercially reasonable period of time.</w:t>
      </w:r>
    </w:p>
    <w:p>
      <w:pPr>
        <w:spacing w:after="0" w:line="128" w:lineRule="exact"/>
        <w:rPr>
          <w:rFonts w:ascii="Times New Roman" w:cs="Times New Roman" w:eastAsia="Times New Roman" w:hAnsi="Times New Roman"/>
          <w:sz w:val="16"/>
          <w:szCs w:val="16"/>
          <w:color w:val="auto"/>
        </w:rPr>
      </w:pPr>
    </w:p>
    <w:p>
      <w:pPr>
        <w:ind w:left="497" w:hanging="497"/>
        <w:spacing w:after="0"/>
        <w:tabs>
          <w:tab w:leader="none" w:pos="49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 Company Restriction</w:t>
      </w:r>
      <w:r>
        <w:rPr>
          <w:rFonts w:ascii="Times New Roman" w:cs="Times New Roman" w:eastAsia="Times New Roman" w:hAnsi="Times New Roman"/>
          <w:sz w:val="16"/>
          <w:szCs w:val="16"/>
          <w:color w:val="auto"/>
        </w:rPr>
        <w:t>. It shall not become required to register as an “investment company” under the Investment Company Act.</w:t>
      </w:r>
    </w:p>
    <w:p>
      <w:pPr>
        <w:spacing w:after="0" w:line="134" w:lineRule="exact"/>
        <w:rPr>
          <w:rFonts w:ascii="Times New Roman" w:cs="Times New Roman" w:eastAsia="Times New Roman" w:hAnsi="Times New Roman"/>
          <w:sz w:val="16"/>
          <w:szCs w:val="16"/>
          <w:color w:val="auto"/>
        </w:rPr>
      </w:pPr>
    </w:p>
    <w:p>
      <w:pPr>
        <w:ind w:left="-503" w:firstLine="503"/>
        <w:spacing w:after="0" w:line="237" w:lineRule="auto"/>
        <w:tabs>
          <w:tab w:leader="none" w:pos="51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Sanctions Laws</w:t>
      </w:r>
      <w:r>
        <w:rPr>
          <w:rFonts w:ascii="Times New Roman" w:cs="Times New Roman" w:eastAsia="Times New Roman" w:hAnsi="Times New Roman"/>
          <w:sz w:val="16"/>
          <w:szCs w:val="16"/>
          <w:color w:val="auto"/>
        </w:rPr>
        <w:t>. It shall not utilize directly or indirectly the proceeds of any Advance for the benefit of any Person whose name appears on the List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Specially Designated</w:t>
      </w:r>
    </w:p>
    <w:p>
      <w:pPr>
        <w:sectPr>
          <w:pgSz w:w="11900" w:h="16838" w:orient="portrait"/>
          <w:cols w:equalWidth="0" w:num="1">
            <w:col w:w="10257"/>
          </w:cols>
          <w:pgMar w:left="1323" w:top="1127" w:right="319" w:bottom="1440" w:gutter="0" w:footer="0" w:header="0"/>
        </w:sectPr>
      </w:pPr>
    </w:p>
    <w:bookmarkStart w:id="280" w:name="page281"/>
    <w:bookmarkEnd w:id="280"/>
    <w:p>
      <w:pPr>
        <w:ind w:left="520"/>
        <w:spacing w:after="0" w:line="235" w:lineRule="auto"/>
        <w:rPr>
          <w:sz w:val="20"/>
          <w:szCs w:val="20"/>
          <w:color w:val="auto"/>
        </w:rPr>
      </w:pPr>
      <w:r>
        <w:rPr>
          <w:rFonts w:ascii="Times New Roman" w:cs="Times New Roman" w:eastAsia="Times New Roman" w:hAnsi="Times New Roman"/>
          <w:sz w:val="16"/>
          <w:szCs w:val="16"/>
          <w:color w:val="auto"/>
        </w:rPr>
        <w:t>Nationals and Blocked Persons maintained by OFAC, and shall maintain and require that the Servicer maintain, internal controls and procedures designed to ensure its continued compliance with the applicable provisions of the Sanctions Laws.</w:t>
      </w:r>
    </w:p>
    <w:p>
      <w:pPr>
        <w:spacing w:after="0" w:line="115" w:lineRule="exact"/>
        <w:rPr>
          <w:sz w:val="20"/>
          <w:szCs w:val="20"/>
          <w:color w:val="auto"/>
        </w:rPr>
      </w:pPr>
    </w:p>
    <w:p>
      <w:pPr>
        <w:jc w:val="both"/>
        <w:ind w:left="520" w:firstLine="503"/>
        <w:spacing w:after="0" w:line="227" w:lineRule="auto"/>
        <w:tabs>
          <w:tab w:leader="none" w:pos="153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Claims Against Advances</w:t>
      </w:r>
      <w:r>
        <w:rPr>
          <w:rFonts w:ascii="Times New Roman" w:cs="Times New Roman" w:eastAsia="Times New Roman" w:hAnsi="Times New Roman"/>
          <w:sz w:val="16"/>
          <w:szCs w:val="16"/>
          <w:color w:val="auto"/>
        </w:rPr>
        <w:t>. Subject to Applicable Law, it shall not claim any credit on, make any deduction from, or dispute the enforceability of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principal or interest payable (or any other amount) in respect of the Advances or assert any claim against any present or future Lender, by reason of the payment of any taxes levied or assessed upon any part of the Collateral.</w:t>
      </w:r>
    </w:p>
    <w:p>
      <w:pPr>
        <w:spacing w:after="0" w:line="114" w:lineRule="exact"/>
        <w:rPr>
          <w:rFonts w:ascii="Times New Roman" w:cs="Times New Roman" w:eastAsia="Times New Roman" w:hAnsi="Times New Roman"/>
          <w:sz w:val="16"/>
          <w:szCs w:val="16"/>
          <w:color w:val="auto"/>
        </w:rPr>
      </w:pPr>
    </w:p>
    <w:p>
      <w:pPr>
        <w:jc w:val="both"/>
        <w:ind w:left="520" w:firstLine="503"/>
        <w:spacing w:after="0" w:line="216" w:lineRule="auto"/>
        <w:tabs>
          <w:tab w:leader="none" w:pos="152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Indebtedness; Guarantees; Securities; Other Assets</w:t>
      </w:r>
      <w:r>
        <w:rPr>
          <w:rFonts w:ascii="Times New Roman" w:cs="Times New Roman" w:eastAsia="Times New Roman" w:hAnsi="Times New Roman"/>
          <w:sz w:val="16"/>
          <w:szCs w:val="16"/>
          <w:color w:val="auto"/>
        </w:rPr>
        <w:t>. It shall not incur or assume or guarantee any indebtedness, obligations (including contingent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Receivables or other property other than as expressly permitted hereunder and pursuant to the Receivables Purchase Agreement.</w:t>
      </w:r>
    </w:p>
    <w:p>
      <w:pPr>
        <w:spacing w:after="0" w:line="126"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2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Validity of this Agreement</w:t>
      </w:r>
      <w:r>
        <w:rPr>
          <w:rFonts w:ascii="Times New Roman" w:cs="Times New Roman" w:eastAsia="Times New Roman" w:hAnsi="Times New Roman"/>
          <w:sz w:val="16"/>
          <w:szCs w:val="16"/>
          <w:color w:val="auto"/>
        </w:rPr>
        <w:t>. It shall not (i) except as permitted by this Agreement, take any action that would permit the validity or effectiveness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16"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It shall not have or permit the formation of any subsidiaries.</w:t>
      </w:r>
    </w:p>
    <w:p>
      <w:pPr>
        <w:spacing w:after="0" w:line="14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Name</w:t>
      </w:r>
      <w:r>
        <w:rPr>
          <w:rFonts w:ascii="Times New Roman" w:cs="Times New Roman" w:eastAsia="Times New Roman" w:hAnsi="Times New Roman"/>
          <w:sz w:val="16"/>
          <w:szCs w:val="16"/>
          <w:color w:val="auto"/>
        </w:rPr>
        <w:t>. It shall not conduct business under any name other than its own.</w:t>
      </w:r>
    </w:p>
    <w:p>
      <w:pPr>
        <w:spacing w:after="0" w:line="14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Employees</w:t>
      </w:r>
      <w:r>
        <w:rPr>
          <w:rFonts w:ascii="Times New Roman" w:cs="Times New Roman" w:eastAsia="Times New Roman" w:hAnsi="Times New Roman"/>
          <w:sz w:val="16"/>
          <w:szCs w:val="16"/>
          <w:color w:val="auto"/>
        </w:rPr>
        <w:t>. It shall not have any employees (other than officers and directors to the extent they are employees).</w:t>
      </w:r>
    </w:p>
    <w:p>
      <w:pPr>
        <w:spacing w:after="0" w:line="134" w:lineRule="exact"/>
        <w:rPr>
          <w:rFonts w:ascii="Times New Roman" w:cs="Times New Roman" w:eastAsia="Times New Roman" w:hAnsi="Times New Roman"/>
          <w:sz w:val="16"/>
          <w:szCs w:val="16"/>
          <w:color w:val="auto"/>
        </w:rPr>
      </w:pPr>
    </w:p>
    <w:p>
      <w:pPr>
        <w:jc w:val="both"/>
        <w:ind w:left="520" w:firstLine="503"/>
        <w:spacing w:after="0" w:line="222" w:lineRule="auto"/>
        <w:tabs>
          <w:tab w:leader="none" w:pos="153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Non Petition</w:t>
      </w:r>
      <w:r>
        <w:rPr>
          <w:rFonts w:ascii="Times New Roman" w:cs="Times New Roman" w:eastAsia="Times New Roman" w:hAnsi="Times New Roman"/>
          <w:sz w:val="16"/>
          <w:szCs w:val="16"/>
          <w:color w:val="auto"/>
        </w:rPr>
        <w:t>. The Borrower shall not be party to any agreements other than the Facility Documents under which it has any material obligations or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 or contingent) without including customary “non petition” and “limited recourse” provisions therein (and shall not amend or eliminate such provisions in any agreement to which it is party).</w:t>
      </w:r>
    </w:p>
    <w:p>
      <w:pPr>
        <w:spacing w:after="0" w:line="126" w:lineRule="exact"/>
        <w:rPr>
          <w:rFonts w:ascii="Times New Roman" w:cs="Times New Roman" w:eastAsia="Times New Roman" w:hAnsi="Times New Roman"/>
          <w:sz w:val="16"/>
          <w:szCs w:val="16"/>
          <w:color w:val="auto"/>
        </w:rPr>
      </w:pPr>
    </w:p>
    <w:p>
      <w:pPr>
        <w:jc w:val="both"/>
        <w:ind w:left="520" w:firstLine="503"/>
        <w:spacing w:after="0" w:line="222" w:lineRule="auto"/>
        <w:tabs>
          <w:tab w:leader="none" w:pos="153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Certificated Securities</w:t>
      </w:r>
      <w:r>
        <w:rPr>
          <w:rFonts w:ascii="Times New Roman" w:cs="Times New Roman" w:eastAsia="Times New Roman" w:hAnsi="Times New Roman"/>
          <w:sz w:val="16"/>
          <w:szCs w:val="16"/>
          <w:color w:val="auto"/>
        </w:rPr>
        <w:t>. The Borrower shall not acquire or hold any certificated securities in bearer form (other than securities not required to be in registered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 under Section 163(f)(2)(A) of the Code) in a manner that does not satisfy the requirements of United States Treasury Regulations section 1.165 12(c) (as determined by the Borrower).</w:t>
      </w:r>
    </w:p>
    <w:p>
      <w:pPr>
        <w:spacing w:after="0" w:line="126"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2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Accounts</w:t>
      </w:r>
      <w:r>
        <w:rPr>
          <w:rFonts w:ascii="Times New Roman" w:cs="Times New Roman" w:eastAsia="Times New Roman" w:hAnsi="Times New Roman"/>
          <w:sz w:val="16"/>
          <w:szCs w:val="16"/>
          <w:color w:val="auto"/>
        </w:rPr>
        <w:t>. The Borrower shall not assign or grant an interest in any rights it may have in the Collection Accounts or the Reserve Account to any Person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the Administrative Agent. The Borrower shall not at any time invest, or permit any investment of, the funds deposited in the Collection Accounts or the Reserve Account. The Borrower shall not close or agree to close the Collection Accounts or, once established, the Reserve Account without the prior written consent of the Administrative Agent.</w:t>
      </w:r>
    </w:p>
    <w:p>
      <w:pPr>
        <w:spacing w:after="0" w:line="127"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i w:val="1"/>
          <w:iCs w:val="1"/>
          <w:color w:val="auto"/>
        </w:rPr>
        <w:t>Section 438.03 Certain Undertakings Relating to Separateness</w:t>
      </w:r>
      <w:r>
        <w:rPr>
          <w:rFonts w:ascii="Times New Roman" w:cs="Times New Roman" w:eastAsia="Times New Roman" w:hAnsi="Times New Roman"/>
          <w:sz w:val="16"/>
          <w:szCs w:val="16"/>
          <w:color w:val="auto"/>
        </w:rPr>
        <w:t>. Without limiting any, and subject to all, other covenants of the Borrower contained in this Agreement,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shall conduct its business and operations separate and apart from that of any other Person (including the holders of the Equity Interests of the Borrower and their</w:t>
      </w:r>
    </w:p>
    <w:p>
      <w:pPr>
        <w:spacing w:after="0" w:line="209" w:lineRule="auto"/>
        <w:rPr>
          <w:sz w:val="20"/>
          <w:szCs w:val="20"/>
          <w:color w:val="auto"/>
        </w:rPr>
      </w:pPr>
      <w:r>
        <w:rPr>
          <w:rFonts w:ascii="Times New Roman" w:cs="Times New Roman" w:eastAsia="Times New Roman" w:hAnsi="Times New Roman"/>
          <w:sz w:val="16"/>
          <w:szCs w:val="16"/>
          <w:color w:val="auto"/>
        </w:rPr>
        <w:t>respective Affiliates) and in furtherance of the foregoing, the Borrower shall:</w:t>
      </w:r>
    </w:p>
    <w:p>
      <w:pPr>
        <w:ind w:left="1520" w:hanging="497"/>
        <w:spacing w:after="0"/>
        <w:tabs>
          <w:tab w:leader="none" w:pos="15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become involved in the day to day management of any other Person;</w:t>
      </w:r>
    </w:p>
    <w:p>
      <w:pPr>
        <w:sectPr>
          <w:pgSz w:w="11900" w:h="16838" w:orient="portrait"/>
          <w:cols w:equalWidth="0" w:num="1">
            <w:col w:w="11280"/>
          </w:cols>
          <w:pgMar w:left="300" w:top="1129" w:right="319" w:bottom="1440" w:gutter="0" w:footer="0" w:header="0"/>
        </w:sectPr>
      </w:pPr>
    </w:p>
    <w:bookmarkStart w:id="281" w:name="page282"/>
    <w:bookmarkEnd w:id="281"/>
    <w:p>
      <w:pPr>
        <w:ind w:firstLine="503"/>
        <w:spacing w:after="0" w:line="235" w:lineRule="auto"/>
        <w:tabs>
          <w:tab w:leader="none" w:pos="100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permit Navan or any of Navan’ Affiliates to become involved in the day to day management of the Borrower, except as permitted hereunder or to the extent provided in the Facility Documents and the Borrower LLC Agreement;</w:t>
      </w:r>
    </w:p>
    <w:p>
      <w:pPr>
        <w:spacing w:after="0" w:line="117" w:lineRule="exact"/>
        <w:rPr>
          <w:rFonts w:ascii="Times New Roman" w:cs="Times New Roman" w:eastAsia="Times New Roman" w:hAnsi="Times New Roman"/>
          <w:sz w:val="16"/>
          <w:szCs w:val="16"/>
          <w:color w:val="auto"/>
        </w:rPr>
      </w:pPr>
    </w:p>
    <w:p>
      <w:pPr>
        <w:ind w:firstLine="503"/>
        <w:spacing w:after="0" w:line="235" w:lineRule="auto"/>
        <w:tabs>
          <w:tab w:leader="none" w:pos="101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engage in transactions with any other Person other than entering into the Facility Documents and those activities permitted by the Borrower LLC Agreement, the Facility Documents and matters necessarily incident or ancillary thereto;</w:t>
      </w:r>
    </w:p>
    <w:p>
      <w:pPr>
        <w:spacing w:after="0" w:line="127"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observe all formalities required of a limited liability company under the laws of the State of Delaware;</w:t>
      </w:r>
    </w:p>
    <w:p>
      <w:pPr>
        <w:spacing w:after="0" w:line="134" w:lineRule="exact"/>
        <w:rPr>
          <w:rFonts w:ascii="Times New Roman" w:cs="Times New Roman" w:eastAsia="Times New Roman" w:hAnsi="Times New Roman"/>
          <w:sz w:val="16"/>
          <w:szCs w:val="16"/>
          <w:color w:val="auto"/>
        </w:rPr>
      </w:pPr>
    </w:p>
    <w:p>
      <w:pPr>
        <w:jc w:val="both"/>
        <w:ind w:firstLine="503"/>
        <w:spacing w:after="0" w:line="226" w:lineRule="auto"/>
        <w:tabs>
          <w:tab w:leader="none" w:pos="101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maintain separate company records and books of account from any other Person and (ii) clearly identify its offices, if any, as its offices and, to the extent that the Borrower and its Affiliates have offices in the same location, allocate fairly and reasonably any overhead expenses that are shared with an Affiliate, including for services performed by an employee of an Affiliate;</w:t>
      </w:r>
    </w:p>
    <w:p>
      <w:pPr>
        <w:spacing w:after="0" w:line="116" w:lineRule="exact"/>
        <w:rPr>
          <w:rFonts w:ascii="Times New Roman" w:cs="Times New Roman" w:eastAsia="Times New Roman" w:hAnsi="Times New Roman"/>
          <w:sz w:val="16"/>
          <w:szCs w:val="16"/>
          <w:color w:val="auto"/>
        </w:rPr>
      </w:pPr>
    </w:p>
    <w:p>
      <w:pPr>
        <w:ind w:firstLine="503"/>
        <w:spacing w:after="0" w:line="235" w:lineRule="auto"/>
        <w:tabs>
          <w:tab w:leader="none" w:pos="1015"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otherwise permitted by the Facility Documents, maintain its assets separately from the assets of any other Person (including through the maintenance of a separate bank account) in a manner that is not costly or difficult to segregate, identify or ascertain such assets;</w:t>
      </w:r>
    </w:p>
    <w:p>
      <w:pPr>
        <w:spacing w:after="0" w:line="127" w:lineRule="exact"/>
        <w:rPr>
          <w:rFonts w:ascii="Times New Roman" w:cs="Times New Roman" w:eastAsia="Times New Roman" w:hAnsi="Times New Roman"/>
          <w:sz w:val="16"/>
          <w:szCs w:val="16"/>
          <w:color w:val="auto"/>
        </w:rPr>
      </w:pPr>
    </w:p>
    <w:p>
      <w:pPr>
        <w:ind w:firstLine="503"/>
        <w:spacing w:after="0" w:line="229" w:lineRule="auto"/>
        <w:tabs>
          <w:tab w:leader="none" w:pos="100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separate financial statements (or if part of a consolidated group, then it will show as a separate member of such group), books and records from any other Person;</w:t>
      </w:r>
    </w:p>
    <w:p>
      <w:pPr>
        <w:spacing w:after="0" w:line="126"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and charge fairly and reasonably any overhead shared with Affiliates;</w:t>
      </w:r>
    </w:p>
    <w:p>
      <w:pPr>
        <w:spacing w:after="0" w:line="144" w:lineRule="exact"/>
        <w:rPr>
          <w:rFonts w:ascii="Times New Roman" w:cs="Times New Roman" w:eastAsia="Times New Roman" w:hAnsi="Times New Roman"/>
          <w:sz w:val="16"/>
          <w:szCs w:val="16"/>
          <w:color w:val="auto"/>
        </w:rPr>
      </w:pPr>
    </w:p>
    <w:p>
      <w:pPr>
        <w:ind w:firstLine="503"/>
        <w:spacing w:after="0" w:line="229" w:lineRule="auto"/>
        <w:tabs>
          <w:tab w:leader="none" w:pos="101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 all business with Affiliates on an arm’s length basis and pursuant to written, enforceable agreements, except to the extent otherwise provided in the Facility Documents;</w:t>
      </w:r>
    </w:p>
    <w:p>
      <w:pPr>
        <w:spacing w:after="0" w:line="126" w:lineRule="exact"/>
        <w:rPr>
          <w:rFonts w:ascii="Times New Roman" w:cs="Times New Roman" w:eastAsia="Times New Roman" w:hAnsi="Times New Roman"/>
          <w:sz w:val="16"/>
          <w:szCs w:val="16"/>
          <w:color w:val="auto"/>
        </w:rPr>
      </w:pPr>
    </w:p>
    <w:p>
      <w:pPr>
        <w:ind w:firstLine="503"/>
        <w:spacing w:after="0" w:line="235" w:lineRule="auto"/>
        <w:tabs>
          <w:tab w:leader="none" w:pos="101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assume, pay or Guarantee any other Person’s obligations or advance funds to any other Person for the payment of expenses or otherwise, except pursuant to the Facility Documents;</w:t>
      </w:r>
    </w:p>
    <w:p>
      <w:pPr>
        <w:spacing w:after="0" w:line="110"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all business correspondence of the Borrower and other communications in the Borrower’s own name, and use separate stationery, invoices,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checks;</w:t>
      </w:r>
    </w:p>
    <w:p>
      <w:pPr>
        <w:spacing w:after="0" w:line="116" w:lineRule="exact"/>
        <w:rPr>
          <w:rFonts w:ascii="Times New Roman" w:cs="Times New Roman" w:eastAsia="Times New Roman" w:hAnsi="Times New Roman"/>
          <w:sz w:val="16"/>
          <w:szCs w:val="16"/>
          <w:color w:val="auto"/>
        </w:rPr>
      </w:pPr>
    </w:p>
    <w:p>
      <w:pPr>
        <w:ind w:firstLine="503"/>
        <w:spacing w:after="0" w:line="235" w:lineRule="auto"/>
        <w:tabs>
          <w:tab w:leader="none" w:pos="101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act as an agent of any other Person in any capacity except pursuant to contractual documents indicating such capacity and only in respect of transactions permitted by the Borrower LLC Agreement, the Facility Documents and matters necessarily incident thereto;</w:t>
      </w:r>
    </w:p>
    <w:p>
      <w:pPr>
        <w:spacing w:after="0" w:line="127" w:lineRule="exact"/>
        <w:rPr>
          <w:rFonts w:ascii="Times New Roman" w:cs="Times New Roman" w:eastAsia="Times New Roman" w:hAnsi="Times New Roman"/>
          <w:sz w:val="16"/>
          <w:szCs w:val="16"/>
          <w:color w:val="auto"/>
        </w:rPr>
      </w:pPr>
    </w:p>
    <w:p>
      <w:pPr>
        <w:ind w:firstLine="503"/>
        <w:spacing w:after="0" w:line="229" w:lineRule="auto"/>
        <w:tabs>
          <w:tab w:leader="none" w:pos="101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act as an agent of Navan or any of Navan’ Affiliates, and not permit Navan or any of Navan’ Affiliates or agents of Navan or any of Navan’ Affiliates to act as its agent, except for any agent to the extent permitted under the Borrower LLC Agreement and the Facility Documents;</w:t>
      </w:r>
    </w:p>
    <w:p>
      <w:pPr>
        <w:spacing w:after="0" w:line="126"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 any known misunderstanding regarding the Borrower’s separate identity from Navan or any of its Affiliates;</w:t>
      </w:r>
    </w:p>
    <w:p>
      <w:pPr>
        <w:spacing w:after="0" w:line="144" w:lineRule="exact"/>
        <w:rPr>
          <w:rFonts w:ascii="Times New Roman" w:cs="Times New Roman" w:eastAsia="Times New Roman" w:hAnsi="Times New Roman"/>
          <w:sz w:val="16"/>
          <w:szCs w:val="16"/>
          <w:color w:val="auto"/>
        </w:rPr>
      </w:pPr>
    </w:p>
    <w:p>
      <w:pPr>
        <w:ind w:firstLine="503"/>
        <w:spacing w:after="0" w:line="229" w:lineRule="auto"/>
        <w:tabs>
          <w:tab w:leader="none" w:pos="100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permit any Affiliate of the Borrower to guarantee, provide indemnification for, or pay its obligations, except for any indemnities and guarantees in connection with any Facility Documents or any consolidated tax liabilities, or except as permitted by the Borrower LLC Agreement;</w:t>
      </w:r>
    </w:p>
    <w:p>
      <w:pPr>
        <w:spacing w:after="0" w:line="126"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compensate its consultants or agents, if any, from its own funds;</w:t>
      </w:r>
    </w:p>
    <w:p>
      <w:pPr>
        <w:sectPr>
          <w:pgSz w:w="11900" w:h="16838" w:orient="portrait"/>
          <w:cols w:equalWidth="0" w:num="1">
            <w:col w:w="10760"/>
          </w:cols>
          <w:pgMar w:left="820" w:top="1129" w:right="319" w:bottom="1440" w:gutter="0" w:footer="0" w:header="0"/>
        </w:sectPr>
      </w:pPr>
    </w:p>
    <w:bookmarkStart w:id="282" w:name="page283"/>
    <w:bookmarkEnd w:id="282"/>
    <w:p>
      <w:pPr>
        <w:jc w:val="both"/>
        <w:ind w:left="515" w:firstLine="503"/>
        <w:spacing w:after="0" w:line="221" w:lineRule="auto"/>
        <w:tabs>
          <w:tab w:leader="none" w:pos="1524"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invoicing for Collections and servicing of the Eligible Receivables, share any common logo with or hold itself out as or be considered as a department of (a) Navan or any of Navan’ Affiliates, (b) any Affiliate of a general partner, shareholder, principal or member of Navan or any of Navan’ Affiliates, or (c) any other Person;</w:t>
      </w:r>
    </w:p>
    <w:p>
      <w:pPr>
        <w:spacing w:after="0" w:line="128" w:lineRule="exact"/>
        <w:rPr>
          <w:rFonts w:ascii="Times New Roman" w:cs="Times New Roman" w:eastAsia="Times New Roman" w:hAnsi="Times New Roman"/>
          <w:sz w:val="16"/>
          <w:szCs w:val="16"/>
          <w:color w:val="auto"/>
        </w:rPr>
      </w:pPr>
    </w:p>
    <w:p>
      <w:pPr>
        <w:ind w:left="1515" w:hanging="497"/>
        <w:spacing w:after="0"/>
        <w:tabs>
          <w:tab w:leader="none" w:pos="151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adequate capital in light of its contemplated business purpose, transactions and liabilities;</w:t>
      </w:r>
    </w:p>
    <w:p>
      <w:pPr>
        <w:spacing w:after="0" w:line="142" w:lineRule="exact"/>
        <w:rPr>
          <w:rFonts w:ascii="Times New Roman" w:cs="Times New Roman" w:eastAsia="Times New Roman" w:hAnsi="Times New Roman"/>
          <w:sz w:val="16"/>
          <w:szCs w:val="16"/>
          <w:color w:val="auto"/>
        </w:rPr>
      </w:pPr>
    </w:p>
    <w:p>
      <w:pPr>
        <w:jc w:val="both"/>
        <w:ind w:left="515" w:firstLine="503"/>
        <w:spacing w:after="0" w:line="218" w:lineRule="auto"/>
        <w:tabs>
          <w:tab w:leader="none" w:pos="152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fail at any time to have at least one (1) Independent Manager on its board of managers;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if such Independent Manager is deceased, withdraws or resigns, the Borrower shall have ten (10) Business Days to replace such Independent Manager with another Independent Manager acceptable to the Administrative Agent; </w:t>
      </w:r>
      <w:r>
        <w:rPr>
          <w:rFonts w:ascii="Times New Roman" w:cs="Times New Roman" w:eastAsia="Times New Roman" w:hAnsi="Times New Roman"/>
          <w:sz w:val="16"/>
          <w:szCs w:val="16"/>
          <w:i w:val="1"/>
          <w:iCs w:val="1"/>
          <w:color w:val="auto"/>
        </w:rPr>
        <w:t>provided, further, however</w:t>
      </w:r>
      <w:r>
        <w:rPr>
          <w:rFonts w:ascii="Times New Roman" w:cs="Times New Roman" w:eastAsia="Times New Roman" w:hAnsi="Times New Roman"/>
          <w:sz w:val="16"/>
          <w:szCs w:val="16"/>
          <w:color w:val="auto"/>
        </w:rPr>
        <w:t>, that during such period, no matter which requires the vote of the Independent Manager under the Borrower LLC Agreement shall be voted;</w:t>
      </w:r>
    </w:p>
    <w:p>
      <w:pPr>
        <w:spacing w:after="0" w:line="118" w:lineRule="exact"/>
        <w:rPr>
          <w:rFonts w:ascii="Times New Roman" w:cs="Times New Roman" w:eastAsia="Times New Roman" w:hAnsi="Times New Roman"/>
          <w:sz w:val="16"/>
          <w:szCs w:val="16"/>
          <w:color w:val="auto"/>
        </w:rPr>
      </w:pPr>
    </w:p>
    <w:p>
      <w:pPr>
        <w:ind w:left="515" w:firstLine="503"/>
        <w:spacing w:after="0" w:line="235" w:lineRule="auto"/>
        <w:tabs>
          <w:tab w:leader="none" w:pos="153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 any Person as an Independent Manager of the Borrower (A) who does not satisfy the definition of an Independent Manager or (B) with respect to any Independent Manager appointed after the Closing Date, without giving ten (10) Business Days’ prior written notice to the Administrative Agent and the Lenders;</w:t>
      </w:r>
    </w:p>
    <w:p>
      <w:pPr>
        <w:spacing w:after="0" w:line="127" w:lineRule="exact"/>
        <w:rPr>
          <w:rFonts w:ascii="Times New Roman" w:cs="Times New Roman" w:eastAsia="Times New Roman" w:hAnsi="Times New Roman"/>
          <w:sz w:val="16"/>
          <w:szCs w:val="16"/>
          <w:color w:val="auto"/>
        </w:rPr>
      </w:pPr>
    </w:p>
    <w:p>
      <w:pPr>
        <w:ind w:left="515" w:firstLine="503"/>
        <w:spacing w:after="0" w:line="229" w:lineRule="auto"/>
        <w:tabs>
          <w:tab w:leader="none" w:pos="1524"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amend, restate, supplement or otherwise modify its Constituent Documents in violation of this Agreement or in any respect that would impair its ability to comply with the Facility Documents;</w:t>
      </w:r>
    </w:p>
    <w:p>
      <w:pPr>
        <w:spacing w:after="0" w:line="126" w:lineRule="exact"/>
        <w:rPr>
          <w:rFonts w:ascii="Times New Roman" w:cs="Times New Roman" w:eastAsia="Times New Roman" w:hAnsi="Times New Roman"/>
          <w:sz w:val="16"/>
          <w:szCs w:val="16"/>
          <w:color w:val="auto"/>
        </w:rPr>
      </w:pPr>
    </w:p>
    <w:p>
      <w:pPr>
        <w:jc w:val="both"/>
        <w:ind w:left="515" w:firstLine="503"/>
        <w:spacing w:after="0" w:line="218" w:lineRule="auto"/>
        <w:tabs>
          <w:tab w:leader="none" w:pos="1524"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its business and activities in all respects in compliance with the assumptions contained in the legal opinions of Paul Hastings LLP dated on or about the Closing Date relating to substantive consolidation issues (the “</w:t>
      </w:r>
      <w:r>
        <w:rPr>
          <w:rFonts w:ascii="Times New Roman" w:cs="Times New Roman" w:eastAsia="Times New Roman" w:hAnsi="Times New Roman"/>
          <w:sz w:val="16"/>
          <w:szCs w:val="16"/>
          <w:i w:val="1"/>
          <w:iCs w:val="1"/>
          <w:color w:val="auto"/>
        </w:rPr>
        <w:t>Bankruptcy Opinion</w:t>
      </w:r>
      <w:r>
        <w:rPr>
          <w:rFonts w:ascii="Times New Roman" w:cs="Times New Roman" w:eastAsia="Times New Roman" w:hAnsi="Times New Roman"/>
          <w:sz w:val="16"/>
          <w:szCs w:val="16"/>
          <w:color w:val="auto"/>
        </w:rPr>
        <w:t>”), unless within ten (10) Business Days of obtaining knowledge or receiving notice of any non-compliance with such assumptions, it has caused to be delivered to the Lenders a legal opinion of Paul Hastings LLP (or other counsel acceptable to the Administrative Agent) that such non-compliance will not adversely affect the conclusions set forth in the Bankruptcy Opinion; and</w:t>
      </w:r>
    </w:p>
    <w:p>
      <w:pPr>
        <w:spacing w:after="0" w:line="127" w:lineRule="exact"/>
        <w:rPr>
          <w:rFonts w:ascii="Times New Roman" w:cs="Times New Roman" w:eastAsia="Times New Roman" w:hAnsi="Times New Roman"/>
          <w:sz w:val="16"/>
          <w:szCs w:val="16"/>
          <w:color w:val="auto"/>
        </w:rPr>
      </w:pPr>
    </w:p>
    <w:p>
      <w:pPr>
        <w:ind w:left="1515" w:hanging="497"/>
        <w:spacing w:after="0"/>
        <w:tabs>
          <w:tab w:leader="none" w:pos="151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any representatives of the Borrower to act at all times with respect to the Borrower consistently and in furtherance of the foregoing.</w:t>
      </w:r>
    </w:p>
    <w:p>
      <w:pPr>
        <w:spacing w:after="0" w:line="166" w:lineRule="exact"/>
        <w:rPr>
          <w:sz w:val="20"/>
          <w:szCs w:val="20"/>
          <w:color w:val="auto"/>
        </w:rPr>
      </w:pPr>
    </w:p>
    <w:p>
      <w:pPr>
        <w:ind w:left="-5" w:firstLine="5"/>
        <w:spacing w:after="0" w:line="258" w:lineRule="auto"/>
        <w:tabs>
          <w:tab w:leader="none" w:pos="50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Borrower hereby acknowledges that the Administrative Agent and each Lender is entering into the transactions contemplated by this Agreement in reliance upon the Borrower’s identity as a legal entity that is separate from its Affiliates.</w:t>
      </w:r>
    </w:p>
    <w:p>
      <w:pPr>
        <w:spacing w:after="0" w:line="121"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6"/>
          <w:szCs w:val="16"/>
          <w:i w:val="1"/>
          <w:iCs w:val="1"/>
          <w:color w:val="auto"/>
        </w:rPr>
        <w:t>Section 438.04 Reassignment.</w:t>
      </w:r>
    </w:p>
    <w:p>
      <w:pPr>
        <w:spacing w:after="0" w:line="147" w:lineRule="exact"/>
        <w:rPr>
          <w:sz w:val="20"/>
          <w:szCs w:val="20"/>
          <w:color w:val="auto"/>
        </w:rPr>
      </w:pPr>
    </w:p>
    <w:p>
      <w:pPr>
        <w:jc w:val="both"/>
        <w:ind w:left="-5" w:firstLine="1023"/>
        <w:spacing w:after="0" w:line="209" w:lineRule="auto"/>
        <w:tabs>
          <w:tab w:leader="none" w:pos="151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the Administrative Agent or any Lender, as the case may be, shall inform the other parties to this Agreement promptly, in writing, upon the discovery of any breach of the representations and warranties made or deemed made by the Borrower pursuant to Section 4.01(t) or Section 4.02;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this failure to so notify shall not relieve the Borrower from any obligations under this Section 5.04(a). Unless any such breach is able to be cured in all material respects and has been cured in all material respects within thirty (30) days following the discovery thereof by a Responsible Officer of the Borrower or receipt by a Responsible Officer of the Borrower of written notice of such breach, any Receivable as to which such representation or warranty relates (a “</w:t>
      </w:r>
      <w:r>
        <w:rPr>
          <w:rFonts w:ascii="Times New Roman" w:cs="Times New Roman" w:eastAsia="Times New Roman" w:hAnsi="Times New Roman"/>
          <w:sz w:val="16"/>
          <w:szCs w:val="16"/>
          <w:i w:val="1"/>
          <w:iCs w:val="1"/>
          <w:color w:val="auto"/>
        </w:rPr>
        <w:t>Reassignment Receivable</w:t>
      </w:r>
      <w:r>
        <w:rPr>
          <w:rFonts w:ascii="Times New Roman" w:cs="Times New Roman" w:eastAsia="Times New Roman" w:hAnsi="Times New Roman"/>
          <w:sz w:val="16"/>
          <w:szCs w:val="16"/>
          <w:color w:val="auto"/>
        </w:rPr>
        <w:t>”) shall cease to be an Eligible Receivable, be released by the Administrative Agent from the Collateral and be reassigned by the Borrower to the Seller at the direction of the Borrower (in either case, upon and subject to payment by the Borrower of the Reassignment Amount described below) or purchased by the Servicer (as long as the Servicer is an Affiliate of the Borrower) (a “</w:t>
      </w:r>
      <w:r>
        <w:rPr>
          <w:rFonts w:ascii="Times New Roman" w:cs="Times New Roman" w:eastAsia="Times New Roman" w:hAnsi="Times New Roman"/>
          <w:sz w:val="16"/>
          <w:szCs w:val="16"/>
          <w:i w:val="1"/>
          <w:iCs w:val="1"/>
          <w:color w:val="auto"/>
        </w:rPr>
        <w:t>Reassignment</w:t>
      </w:r>
      <w:r>
        <w:rPr>
          <w:rFonts w:ascii="Times New Roman" w:cs="Times New Roman" w:eastAsia="Times New Roman" w:hAnsi="Times New Roman"/>
          <w:sz w:val="16"/>
          <w:szCs w:val="16"/>
          <w:color w:val="auto"/>
        </w:rPr>
        <w:t xml:space="preserve">”) on the Payment Date that immediately follows such thirty (30) day period;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such Receivable shall be immediately excluded from the calculation of the Class A Borrowing Base and the Class B Borrowing Base until such breach has been cured in all material respects. In consideration of and simultaneously with the Reassignment of any Receivable on any date, the Borrower shall remit, or cause to be remitted,</w:t>
      </w:r>
    </w:p>
    <w:p>
      <w:pPr>
        <w:sectPr>
          <w:pgSz w:w="11900" w:h="16838" w:orient="portrait"/>
          <w:cols w:equalWidth="0" w:num="1">
            <w:col w:w="11275"/>
          </w:cols>
          <w:pgMar w:left="305" w:top="1129" w:right="3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color w:val="auto"/>
        </w:rPr>
        <w:t>to the Dollar Collection Account in immediately available funds on such date an amount equal to the Dollar Equivalent of the Receivable Balance of such Receivable as of the end</w:t>
      </w:r>
    </w:p>
    <w:p>
      <w:pPr>
        <w:spacing w:after="0" w:line="16"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of the most recent Collection Period (the “</w:t>
      </w:r>
      <w:r>
        <w:rPr>
          <w:rFonts w:ascii="Times New Roman" w:cs="Times New Roman" w:eastAsia="Times New Roman" w:hAnsi="Times New Roman"/>
          <w:sz w:val="16"/>
          <w:szCs w:val="16"/>
          <w:i w:val="1"/>
          <w:iCs w:val="1"/>
          <w:color w:val="auto"/>
        </w:rPr>
        <w:t>Reassignment Amount</w:t>
      </w:r>
      <w:r>
        <w:rPr>
          <w:rFonts w:ascii="Times New Roman" w:cs="Times New Roman" w:eastAsia="Times New Roman" w:hAnsi="Times New Roman"/>
          <w:sz w:val="16"/>
          <w:szCs w:val="16"/>
          <w:color w:val="auto"/>
        </w:rPr>
        <w:t xml:space="preserve">”) and the Borrower (or the Seller or the Servicer as its assignee) shall thereafter be entitled to receive all Collections on the Receivable subject to such Reassignment received by the Servicer after the end of the most recent Collection Period;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the Borrower shall not be</w:t>
      </w:r>
    </w:p>
    <w:p>
      <w:pPr>
        <w:spacing w:after="0"/>
        <w:rPr>
          <w:sz w:val="20"/>
          <w:szCs w:val="20"/>
          <w:color w:val="auto"/>
        </w:rPr>
      </w:pPr>
      <w:r>
        <w:rPr>
          <w:rFonts w:ascii="Times New Roman" w:cs="Times New Roman" w:eastAsia="Times New Roman" w:hAnsi="Times New Roman"/>
          <w:sz w:val="14"/>
          <w:szCs w:val="14"/>
          <w:color w:val="auto"/>
        </w:rPr>
        <w:t>required to remit, or cause to be remitted, the Reassignment Amount with respect to any Receivable subject to a Reassignment in order to effect such Reassignment if and to the</w:t>
      </w:r>
    </w:p>
    <w:p>
      <w:pPr>
        <w:spacing w:after="0" w:line="229" w:lineRule="auto"/>
        <w:rPr>
          <w:sz w:val="20"/>
          <w:szCs w:val="20"/>
          <w:color w:val="auto"/>
        </w:rPr>
      </w:pPr>
      <w:r>
        <w:rPr>
          <w:rFonts w:ascii="Times New Roman" w:cs="Times New Roman" w:eastAsia="Times New Roman" w:hAnsi="Times New Roman"/>
          <w:sz w:val="14"/>
          <w:szCs w:val="14"/>
          <w:color w:val="auto"/>
        </w:rPr>
        <w:t>extent the failure to remit such Reassignment Amount shall not cause a Class A Borrowing Base Deficiency or Class B Borrowing Base Deficiency to exist after giving effect to such Reassignment. With respect to any Reassignment Receivable that is timely repurchased by the Seller in accordance with this Section 5.04, no breach of this Agreement shall be</w:t>
      </w:r>
    </w:p>
    <w:p>
      <w:pPr>
        <w:spacing w:after="0"/>
        <w:rPr>
          <w:sz w:val="20"/>
          <w:szCs w:val="20"/>
          <w:color w:val="auto"/>
        </w:rPr>
      </w:pPr>
      <w:r>
        <w:rPr>
          <w:rFonts w:ascii="Times New Roman" w:cs="Times New Roman" w:eastAsia="Times New Roman" w:hAnsi="Times New Roman"/>
          <w:sz w:val="16"/>
          <w:szCs w:val="16"/>
          <w:color w:val="auto"/>
        </w:rPr>
        <w:t>deemed to have occurred, and during any period regarding which a repurchase is pending, no Event of Default shall be deemed to have occurred.</w:t>
      </w:r>
    </w:p>
    <w:p>
      <w:pPr>
        <w:spacing w:after="0" w:line="127" w:lineRule="exact"/>
        <w:rPr>
          <w:sz w:val="20"/>
          <w:szCs w:val="20"/>
          <w:color w:val="auto"/>
        </w:rPr>
      </w:pPr>
    </w:p>
    <w:p>
      <w:pPr>
        <w:jc w:val="both"/>
        <w:ind w:firstLine="1023"/>
        <w:spacing w:after="0" w:line="221" w:lineRule="auto"/>
        <w:tabs>
          <w:tab w:leader="none" w:pos="151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reassign to the Seller any Receivables in accordance with the Receivables Purchase Agreement or to the Servicer any Receivables in accordance with Servicing Agreement and the Seller or the Servicer, as applicable, shall thereafter be entitled to receive all Collections on any Receivable subject to such reassignment.</w:t>
      </w:r>
    </w:p>
    <w:p>
      <w:pPr>
        <w:spacing w:after="0" w:line="1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439.</w:t>
      </w:r>
    </w:p>
    <w:p>
      <w:pPr>
        <w:spacing w:after="0" w:line="1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EVENTS OF DEFAULT</w:t>
      </w:r>
    </w:p>
    <w:p>
      <w:pPr>
        <w:spacing w:after="0" w:line="145"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i w:val="1"/>
          <w:iCs w:val="1"/>
          <w:color w:val="auto"/>
        </w:rPr>
        <w:t xml:space="preserve">Section 439.01 Events of Default.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wherever used herein, means any one of the following events (whatever the reason for such Event of Default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it shall be voluntary or involuntary or be effected by operation of law or pursuant to any judgment, decree or order of any court or any order, rule or regulation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or governmental body):</w:t>
      </w:r>
    </w:p>
    <w:p>
      <w:pPr>
        <w:spacing w:after="0" w:line="127" w:lineRule="exact"/>
        <w:rPr>
          <w:sz w:val="20"/>
          <w:szCs w:val="20"/>
          <w:color w:val="auto"/>
        </w:rPr>
      </w:pPr>
    </w:p>
    <w:p>
      <w:pPr>
        <w:jc w:val="both"/>
        <w:ind w:left="520" w:firstLine="503"/>
        <w:spacing w:after="0" w:line="214" w:lineRule="auto"/>
        <w:tabs>
          <w:tab w:leader="none" w:pos="153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 default by the Borrower in the payment of, within one (1) Business Day from the due date thereof, any interest on any Advance, any Class A Minimum Utilization Fees, Class A Unused Fees, Class B Minimum Utilization Fees, Class B Unused Fees, or any other payment or deposit required to be made hereunder or under any other Facility Documents or (ii) the failure by the Borrower to reduce the Aggregate Loan Principal Balance and all other Obligations to $0 on the Final Maturity Date; or</w:t>
      </w:r>
    </w:p>
    <w:p>
      <w:pPr>
        <w:spacing w:after="0" w:line="128" w:lineRule="exact"/>
        <w:rPr>
          <w:rFonts w:ascii="Times New Roman" w:cs="Times New Roman" w:eastAsia="Times New Roman" w:hAnsi="Times New Roman"/>
          <w:sz w:val="16"/>
          <w:szCs w:val="16"/>
          <w:color w:val="auto"/>
        </w:rPr>
      </w:pPr>
    </w:p>
    <w:p>
      <w:pPr>
        <w:jc w:val="both"/>
        <w:ind w:left="520" w:firstLine="503"/>
        <w:spacing w:after="0" w:line="211" w:lineRule="auto"/>
        <w:tabs>
          <w:tab w:leader="none" w:pos="152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Class A Borrowing Base Deficiency or a Class B Borrowing Base Deficiency shall exist and remain uncured for two (2) or more Business Days (or, solely to the extent such Class A Borrowing Base Deficiency and/or Class B Borrowing Base Deficiency is the result of the occurrence of a Level I Trigger Event, seven (7) or more Business Days);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a Class A Borrowing Base Deficiency or Class B Borrowing Base Deficiency occurs solely from a determination of the Dollar Equivalent of any Currency using the Applicable Exchange Rate and the Administrative Agent shall have notified the Borrower of such Class A Borrowing Base Deficiency or Class B Borrowing Base Deficiency, such Class A Borrowing Base Deficiency or Class B Borrowing Base Deficiency shall result in an Event of Default only to the extent such Class A Borrowing Base Deficiency or Class B Borrowing Base Deficiency (1) is in an amount greater than or equal to $500,000 and (2) remains uncured for two (2) or more Business Days following notice of such breach by the Administrative Agent; or</w:t>
      </w:r>
    </w:p>
    <w:p>
      <w:pPr>
        <w:spacing w:after="0" w:line="128" w:lineRule="exact"/>
        <w:rPr>
          <w:rFonts w:ascii="Times New Roman" w:cs="Times New Roman" w:eastAsia="Times New Roman" w:hAnsi="Times New Roman"/>
          <w:sz w:val="16"/>
          <w:szCs w:val="16"/>
          <w:color w:val="auto"/>
        </w:rPr>
      </w:pPr>
    </w:p>
    <w:p>
      <w:pPr>
        <w:ind w:left="520" w:firstLine="503"/>
        <w:spacing w:after="0" w:line="230" w:lineRule="auto"/>
        <w:tabs>
          <w:tab w:leader="none" w:pos="153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shall fail to have a first priority perfected security interest in the Collateral (other than with respect to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portion thereof and subject to Permitted Liens); or</w:t>
      </w:r>
    </w:p>
    <w:p>
      <w:pPr>
        <w:spacing w:after="0" w:line="126"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2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any representation or warranty of the Borrower, Navan, the Servicer, the Seller or the Backup Servicer made in this Agreement, in any other Facility Document or in any certificate or other writing delivered pursuant hereto or thereto or in connection herewith or therewith to be correct in each case in all material respects when the same shall have been made (except to the extent any such representation or warranty is already qualified by materiality, in which case such representation and warranty shall be true and correct in all respects) and such failure shall remain uncured for a period in excess of fifteen (15) days</w:t>
      </w:r>
    </w:p>
    <w:p>
      <w:pPr>
        <w:sectPr>
          <w:pgSz w:w="11900" w:h="16838" w:orient="portrait"/>
          <w:cols w:equalWidth="0" w:num="1">
            <w:col w:w="11280"/>
          </w:cols>
          <w:pgMar w:left="300" w:top="1128" w:right="3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6"/>
          <w:szCs w:val="16"/>
          <w:color w:val="auto"/>
        </w:rPr>
        <w:t>after the earlier of (x) written notice to the Borrower (which may be by email) by the Administrative Agent, and (y) actual knowledge of a Responsible Officer of the</w:t>
      </w:r>
    </w:p>
    <w:p>
      <w:pPr>
        <w:spacing w:after="0" w:line="217" w:lineRule="auto"/>
        <w:rPr>
          <w:sz w:val="20"/>
          <w:szCs w:val="20"/>
          <w:color w:val="auto"/>
        </w:rPr>
      </w:pPr>
      <w:r>
        <w:rPr>
          <w:rFonts w:ascii="Times New Roman" w:cs="Times New Roman" w:eastAsia="Times New Roman" w:hAnsi="Times New Roman"/>
          <w:sz w:val="16"/>
          <w:szCs w:val="16"/>
          <w:color w:val="auto"/>
        </w:rPr>
        <w:t xml:space="preserve">Borrower or Navan;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no Event of Default shall be deemed to occur in respect of any representation or warranty relating to eligibility of any Receivable if Navan has repurchased such Receivable in accordance with the provisions of the Receivables Purchase Agreement; or</w:t>
      </w:r>
    </w:p>
    <w:p>
      <w:pPr>
        <w:spacing w:after="0" w:line="127" w:lineRule="exact"/>
        <w:rPr>
          <w:sz w:val="20"/>
          <w:szCs w:val="20"/>
          <w:color w:val="auto"/>
        </w:rPr>
      </w:pPr>
    </w:p>
    <w:p>
      <w:pPr>
        <w:ind w:left="1000" w:hanging="497"/>
        <w:spacing w:after="0"/>
        <w:tabs>
          <w:tab w:leader="none" w:pos="10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in the performance or breach of the covenants set forth in Section 5.01(a)(ii), 5.01(b), 5.01(j), 5.01(q), 5.02 or 5.03; or</w:t>
      </w:r>
    </w:p>
    <w:p>
      <w:pPr>
        <w:spacing w:after="0" w:line="144" w:lineRule="exact"/>
        <w:rPr>
          <w:rFonts w:ascii="Times New Roman" w:cs="Times New Roman" w:eastAsia="Times New Roman" w:hAnsi="Times New Roman"/>
          <w:sz w:val="16"/>
          <w:szCs w:val="16"/>
          <w:color w:val="auto"/>
        </w:rPr>
      </w:pPr>
    </w:p>
    <w:p>
      <w:pPr>
        <w:jc w:val="both"/>
        <w:ind w:firstLine="503"/>
        <w:spacing w:after="0" w:line="218" w:lineRule="auto"/>
        <w:tabs>
          <w:tab w:leader="none" w:pos="101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Section 6.01, a default in any material respect in the performance, or breach in any material respect, of any other covenant or other agreement of the Borrower or Navan under this Agreement or the other Facility Documents and the continuation of such default or breach for a period of ten (10) days following the earlier of (x) written notice to the Borrower (which may be by email) by the Administrative Agent, and (y) actual knowledge of a Responsible Officer of the Borrower or Navan; or</w:t>
      </w:r>
    </w:p>
    <w:p>
      <w:pPr>
        <w:spacing w:after="0" w:line="116" w:lineRule="exact"/>
        <w:rPr>
          <w:rFonts w:ascii="Times New Roman" w:cs="Times New Roman" w:eastAsia="Times New Roman" w:hAnsi="Times New Roman"/>
          <w:sz w:val="16"/>
          <w:szCs w:val="16"/>
          <w:color w:val="auto"/>
        </w:rPr>
      </w:pPr>
    </w:p>
    <w:p>
      <w:pPr>
        <w:jc w:val="both"/>
        <w:ind w:firstLine="503"/>
        <w:spacing w:after="0" w:line="226" w:lineRule="auto"/>
        <w:tabs>
          <w:tab w:leader="none" w:pos="100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non appealable judgments or orders for the payment of an amount or adverse rulings (not fully paid or covered by insurance) shall be rendered against the Borrower or Navan (which, in the case of Navan, exceeds $1,000,000) and with respect to which the Borrower or Navan has knowledge (or should have knowledge) and such judgment or ruling shall remain unsatisfied, unvacated, unbonded or unstayed for a period in excess of thirty (30) days; or</w:t>
      </w:r>
    </w:p>
    <w:p>
      <w:pPr>
        <w:spacing w:after="0" w:line="116"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Insolvency Event with respect to the Borrower or Navan shall have occurred; or</w:t>
      </w:r>
    </w:p>
    <w:p>
      <w:pPr>
        <w:spacing w:after="0" w:line="144" w:lineRule="exact"/>
        <w:rPr>
          <w:rFonts w:ascii="Times New Roman" w:cs="Times New Roman" w:eastAsia="Times New Roman" w:hAnsi="Times New Roman"/>
          <w:sz w:val="16"/>
          <w:szCs w:val="16"/>
          <w:color w:val="auto"/>
        </w:rPr>
      </w:pPr>
    </w:p>
    <w:p>
      <w:pPr>
        <w:jc w:val="both"/>
        <w:ind w:firstLine="503"/>
        <w:spacing w:after="0" w:line="221" w:lineRule="auto"/>
        <w:tabs>
          <w:tab w:leader="none" w:pos="101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first date upon which the Backup Servicing Agreement is in effect, the Backup Servicing Agreement (i) ceases to be in effect or is terminated for any reason and (ii) a successor Backup Servicer reasonably acceptable to the Administrative Agent, the Required Class A Lenders and the Required Class B Lenders is not appointed within sixty (60) days following the date of such default, occurrence, failure or termination; or</w:t>
      </w:r>
    </w:p>
    <w:p>
      <w:pPr>
        <w:spacing w:after="0" w:line="128" w:lineRule="exact"/>
        <w:rPr>
          <w:rFonts w:ascii="Times New Roman" w:cs="Times New Roman" w:eastAsia="Times New Roman" w:hAnsi="Times New Roman"/>
          <w:sz w:val="16"/>
          <w:szCs w:val="16"/>
          <w:color w:val="auto"/>
        </w:rPr>
      </w:pPr>
    </w:p>
    <w:p>
      <w:pPr>
        <w:jc w:val="both"/>
        <w:ind w:firstLine="503"/>
        <w:spacing w:after="0" w:line="212" w:lineRule="auto"/>
        <w:tabs>
          <w:tab w:leader="none" w:pos="101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either (A) any event that constitutes a Servicer Event of Default shall have occurred and be continuing, and with respect to a Servicer Event of Default, shall not have been waived by the Borrower with the written consent of the Administrative Agent and the Required Class B Lenders or (B) the Servicing Agreement ceases for any reason to be in full force or effect or is otherwise terminated and (ii) the Borrower fails to appoint a replacement servicer acceptable to the Administrative Agent and the Required Class B Lenders within thirty (30) days following the date of such default, occurrence, failure or termination (and the Administrative Agent and the Class B Lenders acknowledge that the appointment of Carmel Solutions LLC as a replacement servicer pursuant to the Backup Servicing Agreement is acceptable to the Administrative Agent and the Class B Lenders); or</w:t>
      </w:r>
    </w:p>
    <w:p>
      <w:pPr>
        <w:spacing w:after="0" w:line="128"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of Control shall have occurred; or</w:t>
      </w:r>
    </w:p>
    <w:p>
      <w:pPr>
        <w:spacing w:after="0" w:line="134"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have become an association taxable as a corporation or a publicly traded partnership taxable as a corporation under the Code; or</w:t>
      </w:r>
    </w:p>
    <w:p>
      <w:pPr>
        <w:spacing w:after="0" w:line="144"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Navan becomes an investment company required to be registered under the Investment Company Act; or</w:t>
      </w:r>
    </w:p>
    <w:p>
      <w:pPr>
        <w:spacing w:after="0" w:line="144" w:lineRule="exact"/>
        <w:rPr>
          <w:rFonts w:ascii="Times New Roman" w:cs="Times New Roman" w:eastAsia="Times New Roman" w:hAnsi="Times New Roman"/>
          <w:sz w:val="16"/>
          <w:szCs w:val="16"/>
          <w:color w:val="auto"/>
        </w:rPr>
      </w:pPr>
    </w:p>
    <w:p>
      <w:pPr>
        <w:jc w:val="both"/>
        <w:ind w:firstLine="503"/>
        <w:spacing w:after="0" w:line="213" w:lineRule="auto"/>
        <w:tabs>
          <w:tab w:leader="none" w:pos="100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the Servicer shall have (x) failed to cause all Collections in respect of the Collateral to be deposited into the applicable Collection Account pursuant to the terms of Section 5.01(k) or in any event within two (2) Business Days (or, solely in the case of the first two (2) calendar months following the Closing Date, three (3) Business Days) following the receipt of such Collections, (y) failed to cause the Dollar Equivalent of all Collections on the Receivables owned by the Borrower in the English Collection Accounts to be moved or deemed to be moved in accordance with the Letter Agreement to the Dollar Collection Account two (2) Business Days prior to each Payment Date or (z) in the event of a Reserve Account Trigger</w:t>
      </w:r>
    </w:p>
    <w:p>
      <w:pPr>
        <w:sectPr>
          <w:pgSz w:w="11900" w:h="16838" w:orient="portrait"/>
          <w:cols w:equalWidth="0" w:num="1">
            <w:col w:w="10760"/>
          </w:cols>
          <w:pgMar w:left="820" w:top="1122" w:right="319" w:bottom="1440" w:gutter="0" w:footer="0" w:header="0"/>
        </w:sectPr>
      </w:pPr>
    </w:p>
    <w:bookmarkStart w:id="285" w:name="page286"/>
    <w:bookmarkEnd w:id="285"/>
    <w:p>
      <w:pPr>
        <w:spacing w:after="0" w:line="235" w:lineRule="auto"/>
        <w:rPr>
          <w:sz w:val="20"/>
          <w:szCs w:val="20"/>
          <w:color w:val="auto"/>
        </w:rPr>
      </w:pPr>
      <w:r>
        <w:rPr>
          <w:rFonts w:ascii="Times New Roman" w:cs="Times New Roman" w:eastAsia="Times New Roman" w:hAnsi="Times New Roman"/>
          <w:sz w:val="16"/>
          <w:szCs w:val="16"/>
          <w:color w:val="auto"/>
        </w:rPr>
        <w:t>Event, failed to deposit the Reserve Account Required Deposit Amount directly into the Reserve Account within two (2) Business Days of such Reserve Account Trigger Event first occurring; or</w:t>
      </w:r>
    </w:p>
    <w:p>
      <w:pPr>
        <w:spacing w:after="0" w:line="117" w:lineRule="exact"/>
        <w:rPr>
          <w:sz w:val="20"/>
          <w:szCs w:val="20"/>
          <w:color w:val="auto"/>
        </w:rPr>
      </w:pPr>
    </w:p>
    <w:p>
      <w:pPr>
        <w:jc w:val="both"/>
        <w:ind w:firstLine="503"/>
        <w:spacing w:after="0" w:line="218" w:lineRule="auto"/>
        <w:tabs>
          <w:tab w:leader="none" w:pos="100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Facility Document shall (except in accordance with its terms) terminate, cease to be effective or cease to be the legally valid, binding and enforceable obligation of the Borrower, the Seller, the Servicer, Navan or any Account Bank, as applicable, or (ii) the Borrower, the Seller, the Backup Servicer (when applicable), the Servicer, Navan or any Account Bank, as applicable, shall, directly or indirectly, contest in any manner the effectiveness, validity, binding nature or enforceability of any Facility Document or any Lien purported to be created thereunder; or</w:t>
      </w:r>
    </w:p>
    <w:p>
      <w:pPr>
        <w:spacing w:after="0" w:line="127" w:lineRule="exact"/>
        <w:rPr>
          <w:rFonts w:ascii="Times New Roman" w:cs="Times New Roman" w:eastAsia="Times New Roman" w:hAnsi="Times New Roman"/>
          <w:sz w:val="16"/>
          <w:szCs w:val="16"/>
          <w:color w:val="auto"/>
        </w:rPr>
      </w:pPr>
    </w:p>
    <w:p>
      <w:pPr>
        <w:jc w:val="both"/>
        <w:ind w:firstLine="503"/>
        <w:spacing w:after="0"/>
        <w:tabs>
          <w:tab w:leader="none" w:pos="1009"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Navan or any Subsidiary thereof (other than a Securitization Vehicle or a Warehouse SPV) shall fail to pay any principal of or premium or interest on any Indebtedness (other than Non-Recourse Indebtedness) having a principal amount of $25,000,000 or greater, when the same becomes due and payable (whether by scheduled maturity, required prepayment, acceleration, demand or otherwise) or any other default under any agreement or instrument relating to any such Indebtedness of Navan or any Subsidiary thereof (other than a Securitization Vehicle or a Warehouse SPV), as applicable, or any other event specified in any such agreement or instrument shall occur, in any such case, if the effect of such default or event is to cause or permit such Indebtedness to be declared to be immediately due and payable or required to be immediately prepaid (other than by a regularly scheduled required prepayment), redeemed, purchased or defeased, or an offer to immediately prepay, redeem, purchase or defease such Indebtedness shall be required to be made, in each case, prior to the stated maturity thereof, and such failure, default or event continues for more than ten (10) Business Days after the occurrence thereof (with any such period of up to ten (10) Business Day referred to as a “</w:t>
      </w:r>
      <w:r>
        <w:rPr>
          <w:rFonts w:ascii="Times New Roman" w:cs="Times New Roman" w:eastAsia="Times New Roman" w:hAnsi="Times New Roman"/>
          <w:sz w:val="14"/>
          <w:szCs w:val="14"/>
          <w:i w:val="1"/>
          <w:iCs w:val="1"/>
          <w:color w:val="auto"/>
        </w:rPr>
        <w:t>Cross-Default Cure Period</w:t>
      </w:r>
      <w:r>
        <w:rPr>
          <w:rFonts w:ascii="Times New Roman" w:cs="Times New Roman" w:eastAsia="Times New Roman" w:hAnsi="Times New Roman"/>
          <w:sz w:val="14"/>
          <w:szCs w:val="14"/>
          <w:color w:val="auto"/>
        </w:rPr>
        <w:t>”), provided that unless the Administrative Agent has consented otherwise, a failure described in this clause (p) shall not be deemed cured or waived if such failure was cured or waived solely as a consequence of the entry by Navan or any such Subsidiary into a material amendment with the counterparty under the agreements governing such Indebtedness whereby Navan or such Subsidiary provided material consideration to such counterparty in exchange for such cure or waiver; or</w:t>
      </w:r>
    </w:p>
    <w:p>
      <w:pPr>
        <w:spacing w:after="0" w:line="268" w:lineRule="exact"/>
        <w:rPr>
          <w:rFonts w:ascii="Times New Roman" w:cs="Times New Roman" w:eastAsia="Times New Roman" w:hAnsi="Times New Roman"/>
          <w:sz w:val="14"/>
          <w:szCs w:val="14"/>
          <w:color w:val="auto"/>
        </w:rPr>
      </w:pPr>
    </w:p>
    <w:p>
      <w:pPr>
        <w:ind w:left="1000" w:hanging="497"/>
        <w:spacing w:after="0"/>
        <w:tabs>
          <w:tab w:leader="none" w:pos="10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Guaranty Event of Default shall have occurred and be continuing; or</w:t>
      </w:r>
    </w:p>
    <w:p>
      <w:pPr>
        <w:spacing w:after="0" w:line="144"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following shall occur:</w:t>
      </w:r>
    </w:p>
    <w:p>
      <w:pPr>
        <w:spacing w:after="0" w:line="134" w:lineRule="exact"/>
        <w:rPr>
          <w:rFonts w:ascii="Times New Roman" w:cs="Times New Roman" w:eastAsia="Times New Roman" w:hAnsi="Times New Roman"/>
          <w:sz w:val="16"/>
          <w:szCs w:val="16"/>
          <w:color w:val="auto"/>
        </w:rPr>
      </w:pPr>
    </w:p>
    <w:p>
      <w:pPr>
        <w:jc w:val="both"/>
        <w:ind w:left="500" w:firstLine="513"/>
        <w:spacing w:after="0" w:line="226" w:lineRule="auto"/>
        <w:tabs>
          <w:tab w:leader="none" w:pos="1517"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last day of any fiscal quarter, the Tangible Net Worth of Navan shall be less than the greater of (A) the sum of (1) $100,000,000 and (2) twenty percent (20.00%) of the net cash proceeds received by Navan in all issuances of Equity Interests occurring after February 24, 2025 and (B) any minimum net worth or similar covenant set forth in any Comparable Transaction;</w:t>
      </w:r>
    </w:p>
    <w:p>
      <w:pPr>
        <w:spacing w:after="0" w:line="116" w:lineRule="exact"/>
        <w:rPr>
          <w:rFonts w:ascii="Times New Roman" w:cs="Times New Roman" w:eastAsia="Times New Roman" w:hAnsi="Times New Roman"/>
          <w:sz w:val="16"/>
          <w:szCs w:val="16"/>
          <w:color w:val="auto"/>
        </w:rPr>
      </w:pPr>
    </w:p>
    <w:p>
      <w:pPr>
        <w:ind w:left="500" w:firstLine="513"/>
        <w:spacing w:after="0" w:line="235" w:lineRule="auto"/>
        <w:tabs>
          <w:tab w:leader="none" w:pos="1517"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last day of any fiscal quarter, the Leverage Ratio of Navan shall be greater than the lesser of (A) 3.75 : 1.0 and (B) the maximum ratio for any leverage ratio or similar covenant set forth in any Comparable Transaction;</w:t>
      </w:r>
    </w:p>
    <w:p>
      <w:pPr>
        <w:spacing w:after="0" w:line="127" w:lineRule="exact"/>
        <w:rPr>
          <w:rFonts w:ascii="Times New Roman" w:cs="Times New Roman" w:eastAsia="Times New Roman" w:hAnsi="Times New Roman"/>
          <w:sz w:val="16"/>
          <w:szCs w:val="16"/>
          <w:color w:val="auto"/>
        </w:rPr>
      </w:pPr>
    </w:p>
    <w:p>
      <w:pPr>
        <w:ind w:left="500" w:firstLine="513"/>
        <w:spacing w:after="0" w:line="229" w:lineRule="auto"/>
        <w:tabs>
          <w:tab w:leader="none" w:pos="1518"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last day of any fiscal quarter, the Corporate Leverage Ratio of Navan shall be greater than the lesser of (A) 2.0 : 1.0 and (B) the maximum ratio for any corporate leverage ratio or similar covenant set forth in any Comparable Transaction; or</w:t>
      </w:r>
    </w:p>
    <w:p>
      <w:pPr>
        <w:spacing w:after="0" w:line="126" w:lineRule="exact"/>
        <w:rPr>
          <w:rFonts w:ascii="Times New Roman" w:cs="Times New Roman" w:eastAsia="Times New Roman" w:hAnsi="Times New Roman"/>
          <w:sz w:val="16"/>
          <w:szCs w:val="16"/>
          <w:color w:val="auto"/>
        </w:rPr>
      </w:pPr>
    </w:p>
    <w:p>
      <w:pPr>
        <w:jc w:val="both"/>
        <w:ind w:left="500" w:firstLine="513"/>
        <w:spacing w:after="0" w:line="221" w:lineRule="auto"/>
        <w:tabs>
          <w:tab w:leader="none" w:pos="151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last day of any fiscal quarter, the Unrestricted Cash of Navan shall be less than the greater of (A) $50,000,000, (B) Navan’s Average Monthly Burn during the most recently ended period of nine (9) calendar months and (C) the dollar minimum for any minimum liquidity or unrestricted cash or similar covenant set forth in any Comparable Transaction; or</w:t>
      </w:r>
    </w:p>
    <w:p>
      <w:pPr>
        <w:spacing w:after="0" w:line="128"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Level III Trigger Event shall occur; or</w:t>
      </w:r>
    </w:p>
    <w:p>
      <w:pPr>
        <w:sectPr>
          <w:pgSz w:w="11900" w:h="16838" w:orient="portrait"/>
          <w:cols w:equalWidth="0" w:num="1">
            <w:col w:w="10760"/>
          </w:cols>
          <w:pgMar w:left="820" w:top="1129" w:right="319" w:bottom="1440" w:gutter="0" w:footer="0" w:header="0"/>
        </w:sectPr>
      </w:pPr>
    </w:p>
    <w:bookmarkStart w:id="286" w:name="page287"/>
    <w:bookmarkEnd w:id="286"/>
    <w:p>
      <w:pPr>
        <w:jc w:val="both"/>
        <w:ind w:firstLine="503"/>
        <w:spacing w:after="0" w:line="221" w:lineRule="auto"/>
        <w:tabs>
          <w:tab w:leader="none" w:pos="1017"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IRS shall file notice of a Lien pursuant to Section 6323 of the Code with regard to any assets of the Borrower or any material portion of the assets of Navan and such Lien shall not have been released within 30 days, or the PBGC shall file notice of a Lien pursuant to Section 4068 of ERISA with regard to any of the assets of the Borrower or Navan and such Lien shall not have been released within 30 days,</w:t>
      </w:r>
    </w:p>
    <w:p>
      <w:pPr>
        <w:spacing w:after="0" w:line="128" w:lineRule="exact"/>
        <w:rPr>
          <w:rFonts w:ascii="Times New Roman" w:cs="Times New Roman" w:eastAsia="Times New Roman" w:hAnsi="Times New Roman"/>
          <w:sz w:val="16"/>
          <w:szCs w:val="16"/>
          <w:color w:val="auto"/>
        </w:rPr>
      </w:pPr>
    </w:p>
    <w:p>
      <w:pPr>
        <w:ind w:firstLine="503"/>
        <w:spacing w:after="0" w:line="235" w:lineRule="auto"/>
        <w:tabs>
          <w:tab w:leader="none" w:pos="100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Servicer is an Affiliate of the Seller, the Servicer shall fail to deliver a Monthly Report as required pursuant to </w:t>
      </w:r>
      <w:r>
        <w:rPr>
          <w:rFonts w:ascii="Times New Roman" w:cs="Times New Roman" w:eastAsia="Times New Roman" w:hAnsi="Times New Roman"/>
          <w:sz w:val="16"/>
          <w:szCs w:val="16"/>
          <w:u w:val="single" w:color="auto"/>
          <w:color w:val="auto"/>
        </w:rPr>
        <w:t>Section 5.01(g)</w:t>
      </w:r>
      <w:r>
        <w:rPr>
          <w:rFonts w:ascii="Times New Roman" w:cs="Times New Roman" w:eastAsia="Times New Roman" w:hAnsi="Times New Roman"/>
          <w:sz w:val="16"/>
          <w:szCs w:val="16"/>
          <w:color w:val="auto"/>
        </w:rPr>
        <w:t xml:space="preserve"> and such failure shall remain unremedied for five (5) Business Days; or</w:t>
      </w:r>
    </w:p>
    <w:p>
      <w:pPr>
        <w:spacing w:after="0" w:line="117" w:lineRule="exact"/>
        <w:rPr>
          <w:rFonts w:ascii="Times New Roman" w:cs="Times New Roman" w:eastAsia="Times New Roman" w:hAnsi="Times New Roman"/>
          <w:sz w:val="16"/>
          <w:szCs w:val="16"/>
          <w:color w:val="auto"/>
        </w:rPr>
      </w:pPr>
    </w:p>
    <w:p>
      <w:pPr>
        <w:jc w:val="both"/>
        <w:ind w:firstLine="503"/>
        <w:spacing w:after="0" w:line="226" w:lineRule="auto"/>
        <w:tabs>
          <w:tab w:leader="none" w:pos="100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Borrower to have caused Navan to enter into a pledge agreement with respect to the Equity Interests of the Borrower, in favor of the Administrative Agent within ten (10) Business Days following the Amendment No. 8 Effective Date, in form and substance acceptable to the Administrative Agent in their sole discretion.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439.02 Remedies upon an Event of Default.</w:t>
      </w:r>
    </w:p>
    <w:p>
      <w:pPr>
        <w:spacing w:after="0" w:line="147" w:lineRule="exact"/>
        <w:rPr>
          <w:sz w:val="20"/>
          <w:szCs w:val="20"/>
          <w:color w:val="auto"/>
        </w:rPr>
      </w:pPr>
    </w:p>
    <w:p>
      <w:pPr>
        <w:jc w:val="both"/>
        <w:ind w:firstLine="503"/>
        <w:spacing w:after="0" w:line="209" w:lineRule="auto"/>
        <w:tabs>
          <w:tab w:leader="none" w:pos="1011"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occurrence and during the continuance of any Event of Default, in addition to all rights and remedies specified in this Agreement and the other Facility Documents, including Article 7, and the rights and remedies of a Secured Party under Applicable Law, including the UCC, the Administrative Agent, following the direction of, or consent by, the Required Lenders, by notice to the Borrower, may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upon the occurrence of any Event of Default described in clause (h) of Section 6.01, the Advances and all other Obligations shall automatically become due and payable, without any further action by any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case of any event described in Section 6.01(a) and (b) above that involves solely a failure to pay one or more amounts owing to the Class B Lenders, the Administrative Agent shall not declare the principal of and the accrued interest on the Advances and all other amounts whatsoever payable by the Borrower hereunder to be forthwith due and payable without the consent of the Class B Lenders (or the Class B Representative on their behalf).</w:t>
      </w:r>
    </w:p>
    <w:p>
      <w:pPr>
        <w:spacing w:after="0" w:line="128" w:lineRule="exact"/>
        <w:rPr>
          <w:rFonts w:ascii="Times New Roman" w:cs="Times New Roman" w:eastAsia="Times New Roman" w:hAnsi="Times New Roman"/>
          <w:sz w:val="16"/>
          <w:szCs w:val="16"/>
          <w:color w:val="auto"/>
        </w:rPr>
      </w:pPr>
    </w:p>
    <w:p>
      <w:pPr>
        <w:jc w:val="both"/>
        <w:ind w:firstLine="503"/>
        <w:spacing w:after="0"/>
        <w:tabs>
          <w:tab w:leader="none" w:pos="1009"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occurrence and during the continuation of an Event of Default, following written notice by the Administrative Agent (provided in its sole discretion or at the direction of the Required Lenders) of the exercise of control rights with respect to the Collateral pursuant to and in accordance with the UCC, the Borrower will sell or otherwise dispose of any Eligible Receivables or other Collateral to repay the Obligations as directed by the Administrative Agent in its sole discretion, provided that any such sale or other disposition directed by the Administrative Agent shall be on commercially reasonable terms and otherwise in accordance with the UCC and other Applicable Laws. The proceeds of any such sale or disposition shall be applied in accordance with Section 9.01(c). Notwithstanding anything herein to the contrary, the Administrative Agent shall not, and the Required Lenders may not direct the Administrative Agent to, exercise any such right to foreclose on and sell the Collateral during any period from the date of a Class B Buyout Triggering Event through the applicable Class B Buyout Exercise Date (or, if such Class B Buyout Option is not exercised by the Class B Lenders, the Class B Buyout Option Termination Date);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any sale process may be commenced prior to the Class B Buyout Exercise Date or the Class B Buyout Option Termination Date, as applicable, at the discretion of the Administrative Agent.</w:t>
      </w:r>
    </w:p>
    <w:p>
      <w:pPr>
        <w:spacing w:after="0" w:line="282" w:lineRule="exact"/>
        <w:rPr>
          <w:rFonts w:ascii="Times New Roman" w:cs="Times New Roman" w:eastAsia="Times New Roman" w:hAnsi="Times New Roman"/>
          <w:sz w:val="14"/>
          <w:szCs w:val="14"/>
          <w:color w:val="auto"/>
        </w:rPr>
      </w:pPr>
    </w:p>
    <w:p>
      <w:pPr>
        <w:jc w:val="both"/>
        <w:ind w:firstLine="503"/>
        <w:spacing w:after="0" w:line="221" w:lineRule="auto"/>
        <w:tabs>
          <w:tab w:leader="none" w:pos="1011"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and during the continuation of an Event of Default, the Administrative Agent (provided in its sole discretion or at the direction of the Required Lenders) shall instruct the English Account Bank to withdraw all funds in the English Collection Accounts and deposit the Dollar Equivalent of all such funds into the Dollar Collection Account within two (2) Business Days of delivering such instruction.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439.03 Class B Buyout Option</w:t>
      </w:r>
      <w:r>
        <w:rPr>
          <w:rFonts w:ascii="Times New Roman" w:cs="Times New Roman" w:eastAsia="Times New Roman" w:hAnsi="Times New Roman"/>
          <w:sz w:val="16"/>
          <w:szCs w:val="16"/>
          <w:color w:val="auto"/>
        </w:rPr>
        <w:t>.</w:t>
      </w:r>
    </w:p>
    <w:p>
      <w:pPr>
        <w:sectPr>
          <w:pgSz w:w="11900" w:h="16838" w:orient="portrait"/>
          <w:cols w:equalWidth="0" w:num="1">
            <w:col w:w="10760"/>
          </w:cols>
          <w:pgMar w:left="820" w:top="1128" w:right="319" w:bottom="1440" w:gutter="0" w:footer="0" w:header="0"/>
        </w:sectPr>
      </w:pPr>
    </w:p>
    <w:bookmarkStart w:id="287" w:name="page288"/>
    <w:bookmarkEnd w:id="287"/>
    <w:p>
      <w:pPr>
        <w:jc w:val="both"/>
        <w:ind w:left="6" w:firstLine="503"/>
        <w:spacing w:after="0"/>
        <w:tabs>
          <w:tab w:leader="none" w:pos="1017"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(x) the Administrative Agent (following the direction or consent of the Required Lenders) has declared the principal of and the accrued interest on the Advances and all other amounts whatsoever payable by the Borrower hereunder to be due and payable or such amounts have automatically become due and payable or (y) the Administrative Agent shall have provided notice to the Borrower and the Lenders that an Event of Default has occurred, such Event of Default shall be continuing for sixty (60) days and the Administrative Agent shall not have commenced enforcement proceedings at the written direction of the Required Lenders against the Borrower and/or the Collateral (each of clause (x) and (y), a “</w:t>
      </w:r>
      <w:r>
        <w:rPr>
          <w:rFonts w:ascii="Times New Roman" w:cs="Times New Roman" w:eastAsia="Times New Roman" w:hAnsi="Times New Roman"/>
          <w:sz w:val="14"/>
          <w:szCs w:val="14"/>
          <w:i w:val="1"/>
          <w:iCs w:val="1"/>
          <w:color w:val="auto"/>
        </w:rPr>
        <w:t>Class B Buyout Triggering Event</w:t>
      </w:r>
      <w:r>
        <w:rPr>
          <w:rFonts w:ascii="Times New Roman" w:cs="Times New Roman" w:eastAsia="Times New Roman" w:hAnsi="Times New Roman"/>
          <w:sz w:val="14"/>
          <w:szCs w:val="14"/>
          <w:color w:val="auto"/>
        </w:rPr>
        <w:t xml:space="preserve">”), the Class B Lenders (or any subset of them or any designated Affiliates of such Class B Lenders, each, a </w:t>
      </w:r>
      <w:r>
        <w:rPr>
          <w:rFonts w:ascii="Times New Roman" w:cs="Times New Roman" w:eastAsia="Times New Roman" w:hAnsi="Times New Roman"/>
          <w:sz w:val="14"/>
          <w:szCs w:val="14"/>
          <w:i w:val="1"/>
          <w:iCs w:val="1"/>
          <w:color w:val="auto"/>
        </w:rPr>
        <w:t>“Class B Buyout Group”</w:t>
      </w:r>
      <w:r>
        <w:rPr>
          <w:rFonts w:ascii="Times New Roman" w:cs="Times New Roman" w:eastAsia="Times New Roman" w:hAnsi="Times New Roman"/>
          <w:sz w:val="14"/>
          <w:szCs w:val="14"/>
          <w:color w:val="auto"/>
        </w:rPr>
        <w:t xml:space="preserve">) shall have the option exercised by delivery of a written notice to the Administrative Agent (a </w:t>
      </w:r>
      <w:r>
        <w:rPr>
          <w:rFonts w:ascii="Times New Roman" w:cs="Times New Roman" w:eastAsia="Times New Roman" w:hAnsi="Times New Roman"/>
          <w:sz w:val="14"/>
          <w:szCs w:val="14"/>
          <w:i w:val="1"/>
          <w:iCs w:val="1"/>
          <w:color w:val="auto"/>
        </w:rPr>
        <w:t>“Class B Buyout Notice”</w:t>
      </w:r>
      <w:r>
        <w:rPr>
          <w:rFonts w:ascii="Times New Roman" w:cs="Times New Roman" w:eastAsia="Times New Roman" w:hAnsi="Times New Roman"/>
          <w:sz w:val="14"/>
          <w:szCs w:val="14"/>
          <w:color w:val="auto"/>
        </w:rPr>
        <w:t xml:space="preserve">), to purchase all (but not less than all) of the aggregate principal amount of the Class A Advances (at par), together with interest and fees, including, for the avoidance of doubt, Class A Interest calculated without giving effect to clause (c)(ii) of the definition of Class A Interest Rate, Class A Unused Fees and Class A Upfront Fees due with respect thereto, and all other Class A Obligations (collectively, the </w:t>
      </w:r>
      <w:r>
        <w:rPr>
          <w:rFonts w:ascii="Times New Roman" w:cs="Times New Roman" w:eastAsia="Times New Roman" w:hAnsi="Times New Roman"/>
          <w:sz w:val="14"/>
          <w:szCs w:val="14"/>
          <w:i w:val="1"/>
          <w:iCs w:val="1"/>
          <w:color w:val="auto"/>
        </w:rPr>
        <w:t>“Class B Buyout Option”</w:t>
      </w:r>
      <w:r>
        <w:rPr>
          <w:rFonts w:ascii="Times New Roman" w:cs="Times New Roman" w:eastAsia="Times New Roman" w:hAnsi="Times New Roman"/>
          <w:sz w:val="14"/>
          <w:szCs w:val="14"/>
          <w:color w:val="auto"/>
        </w:rPr>
        <w:t xml:space="preserve">). On the date of the Class B Buyout Triggering Event, the Administrative Agent shall deliver to the Class B Lenders written notice specifying the estimated Class B Buyout Amount as of the date that is five (5) Business Days following the date of the Class B Buyout Triggering Event. Unless the Administrative Agent (acting at the direction of the Required Lenders) agrees in writing to a longer time period, the Class B Buyout Option shall be exercisable by the Class B Lenders in any one or more Class B Buyout Groups for a period of five (5) Business Days, commencing on the date of the Class B Buyout Triggering Event (each such date, a </w:t>
      </w:r>
      <w:r>
        <w:rPr>
          <w:rFonts w:ascii="Times New Roman" w:cs="Times New Roman" w:eastAsia="Times New Roman" w:hAnsi="Times New Roman"/>
          <w:sz w:val="14"/>
          <w:szCs w:val="14"/>
          <w:i w:val="1"/>
          <w:iCs w:val="1"/>
          <w:color w:val="auto"/>
        </w:rPr>
        <w:t>“Class B Buyout Option Termination Date”</w:t>
      </w:r>
      <w:r>
        <w:rPr>
          <w:rFonts w:ascii="Times New Roman" w:cs="Times New Roman" w:eastAsia="Times New Roman" w:hAnsi="Times New Roman"/>
          <w:sz w:val="14"/>
          <w:szCs w:val="14"/>
          <w:color w:val="auto"/>
        </w:rPr>
        <w:t xml:space="preserve">). Prior to the applicable Class B Buyout Option Termination Date, any Class B Buyout Group may exercise the Class B Buyout Option by delivering the Class B Buyout Notice to the Administrative Agent, which notice (i) shall be irrevocable (unless the final Class B Buyout Amount is more than $50,000 higher than the estimated amount of Class A Obligations provided in the Class B Buyout Notice, in which case such Class B Buyout Notice may be revoked in the sole and absolute discretion of such Class B Buyout Group at any time prior to the Class B Buyout Exercise Date), (ii) shall state that each Class B Lender in the Class B Buyout Group is electing to exercise the Class B Buyout Option (in such allocation as the Class B Buyout Group has agreed) and (iii) shall specify the date on which such right is to be exercised (such date, the </w:t>
      </w:r>
      <w:r>
        <w:rPr>
          <w:rFonts w:ascii="Times New Roman" w:cs="Times New Roman" w:eastAsia="Times New Roman" w:hAnsi="Times New Roman"/>
          <w:sz w:val="14"/>
          <w:szCs w:val="14"/>
          <w:i w:val="1"/>
          <w:iCs w:val="1"/>
          <w:color w:val="auto"/>
        </w:rPr>
        <w:t>“Class B Buyout Exercise Date”</w:t>
      </w:r>
      <w:r>
        <w:rPr>
          <w:rFonts w:ascii="Times New Roman" w:cs="Times New Roman" w:eastAsia="Times New Roman" w:hAnsi="Times New Roman"/>
          <w:sz w:val="14"/>
          <w:szCs w:val="14"/>
          <w:color w:val="auto"/>
        </w:rPr>
        <w:t>), which date shall be a Business Day not more than five</w:t>
      </w:r>
    </w:p>
    <w:p>
      <w:pPr>
        <w:spacing w:after="0" w:line="82" w:lineRule="exact"/>
        <w:rPr>
          <w:rFonts w:ascii="Times New Roman" w:cs="Times New Roman" w:eastAsia="Times New Roman" w:hAnsi="Times New Roman"/>
          <w:sz w:val="14"/>
          <w:szCs w:val="14"/>
          <w:color w:val="auto"/>
        </w:rPr>
      </w:pPr>
    </w:p>
    <w:p>
      <w:pPr>
        <w:jc w:val="both"/>
        <w:ind w:left="6" w:hanging="6"/>
        <w:spacing w:after="0" w:line="214" w:lineRule="auto"/>
        <w:tabs>
          <w:tab w:leader="none" w:pos="228"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after receipt by the Administrative Agent of such Class B Buyout Notice. For the avoidance of doubt if the Administrative Agent (or an Affiliate thereof) is a Class A Lender but is not a Class B Lender, any Class B Buyout Notice delivered pursuant to Section 6.03(b) may designate a successor Administrative Agent and the existing Administrative Agent shall submit its resignation on the terms provided in Section 11.05.</w:t>
      </w:r>
    </w:p>
    <w:p>
      <w:pPr>
        <w:spacing w:after="0" w:line="126" w:lineRule="exact"/>
        <w:rPr>
          <w:rFonts w:ascii="Times New Roman" w:cs="Times New Roman" w:eastAsia="Times New Roman" w:hAnsi="Times New Roman"/>
          <w:sz w:val="16"/>
          <w:szCs w:val="16"/>
          <w:color w:val="auto"/>
        </w:rPr>
      </w:pPr>
    </w:p>
    <w:p>
      <w:pPr>
        <w:jc w:val="both"/>
        <w:ind w:left="6" w:firstLine="503"/>
        <w:spacing w:after="0" w:line="239" w:lineRule="auto"/>
        <w:tabs>
          <w:tab w:leader="none" w:pos="1015"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the Business Day prior to the Class B Buyout Exercise Date, the Administrative Agent shall deliver to each Class B Buyout Group written notice specifying the Class A Obligations (including, without limitation, the aggregate principal amount of all Class A Advances and all accrued and unpaid interest and fees (but exclusive of prepayment fees, penalties and default interest) with respect thereto) outstanding and unpaid as of the Class B Buyout Exercise Date (collectively, the </w:t>
      </w:r>
      <w:r>
        <w:rPr>
          <w:rFonts w:ascii="Times New Roman" w:cs="Times New Roman" w:eastAsia="Times New Roman" w:hAnsi="Times New Roman"/>
          <w:sz w:val="14"/>
          <w:szCs w:val="14"/>
          <w:i w:val="1"/>
          <w:iCs w:val="1"/>
          <w:color w:val="auto"/>
        </w:rPr>
        <w:t>“Class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Buyout Amount”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Class B Buyout Exercise Date, the Class A Lenders shall sell to the Class B Buyout Group their respective</w:t>
      </w:r>
      <w:r>
        <w:rPr>
          <w:rFonts w:ascii="Times New Roman" w:cs="Times New Roman" w:eastAsia="Times New Roman" w:hAnsi="Times New Roman"/>
          <w:sz w:val="14"/>
          <w:szCs w:val="14"/>
          <w:i w:val="1"/>
          <w:iCs w:val="1"/>
          <w:color w:val="auto"/>
        </w:rPr>
        <w:t xml:space="preserve"> pro rata </w:t>
      </w:r>
      <w:r>
        <w:rPr>
          <w:rFonts w:ascii="Times New Roman" w:cs="Times New Roman" w:eastAsia="Times New Roman" w:hAnsi="Times New Roman"/>
          <w:sz w:val="14"/>
          <w:szCs w:val="14"/>
          <w:color w:val="auto"/>
        </w:rPr>
        <w:t>portions of the Class 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Buyout Amount, and the Class B Buyout Group shall purchase from the Class A Lenders, at their respective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portions of the Class B Buyout Amount, all of the Class A Advances. Such Class B Buyout Amount shall be remitted by wire transfer of immediately available funds by the Class B Buyout Group to the Administrative Agent for disbursement to the Class A Lenders. Accrued and unpaid interest on the Class A Advances shall be calculated through the Business Day on which the foregoing purchase and sale shall occur and any amounts received by the Administrative Agent after 2:00 p.m. shall be deemed received on the next Business Day.</w:t>
      </w:r>
    </w:p>
    <w:p>
      <w:pPr>
        <w:spacing w:after="0" w:line="128" w:lineRule="exact"/>
        <w:rPr>
          <w:rFonts w:ascii="Times New Roman" w:cs="Times New Roman" w:eastAsia="Times New Roman" w:hAnsi="Times New Roman"/>
          <w:sz w:val="14"/>
          <w:szCs w:val="14"/>
          <w:color w:val="auto"/>
        </w:rPr>
      </w:pPr>
    </w:p>
    <w:p>
      <w:pPr>
        <w:ind w:left="6" w:firstLine="503"/>
        <w:spacing w:after="0" w:line="235" w:lineRule="auto"/>
        <w:tabs>
          <w:tab w:leader="none" w:pos="1017"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delivery of the Class B Buyout Notice, the Class B Buyout Group hereby agrees to indemnify and hold harmless the Administrative Agent and the Class A Lenders from and against any loss, liability, claim, damage or expense (including reasonable fees and expenses</w:t>
      </w:r>
    </w:p>
    <w:p>
      <w:pPr>
        <w:sectPr>
          <w:pgSz w:w="11900" w:h="16838" w:orient="portrait"/>
          <w:cols w:equalWidth="0" w:num="1">
            <w:col w:w="10766"/>
          </w:cols>
          <w:pgMar w:left="814" w:top="1129" w:right="3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color w:val="auto"/>
        </w:rPr>
        <w:t>of no more than one (1) outside legal counsel) arising out of any claim asserted by a third party as a direct result of any acts by the members of the Class B Buyout Group</w:t>
      </w:r>
    </w:p>
    <w:p>
      <w:pPr>
        <w:spacing w:after="0" w:line="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occurring after the date of such purchase (but excluding, for the avoidance of doubt, any such loss, liability, claim, damage or expense resulting from the gross negligence, bad faith or willful misconduct of the Person seeking indemnification).</w:t>
      </w:r>
    </w:p>
    <w:p>
      <w:pPr>
        <w:spacing w:after="0" w:line="127" w:lineRule="exact"/>
        <w:rPr>
          <w:sz w:val="20"/>
          <w:szCs w:val="20"/>
          <w:color w:val="auto"/>
        </w:rPr>
      </w:pPr>
    </w:p>
    <w:p>
      <w:pPr>
        <w:jc w:val="both"/>
        <w:ind w:firstLine="503"/>
        <w:spacing w:after="0" w:line="212" w:lineRule="auto"/>
        <w:tabs>
          <w:tab w:leader="none" w:pos="1009"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purchase pursuant to this Section 6.03 shall be expressly made without representation or warranty of any kind by the Class A Lenders or any other Person acting on their behalf, except that the Class A Lenders shall be deemed to represent and warrant, severally as to its Class A Advances: (i) the amount of such Class A Advances being purchased and that the purchase price and other sums payable by the Class B Buyout Group(s) are true, correct and accurate, (ii) it has all right, title and interest in and to such Class A Advances free and clear of any Liens of such Class A Lender or created or suffered to exist by such Class A Lender, (iii) as to the absence of any claims made or threatened in writing against such Class A Lender related to such Class A Advances, and (iv) such Class A Lender is duly authorized to assign such Class A Advances.</w:t>
      </w:r>
    </w:p>
    <w:p>
      <w:pPr>
        <w:spacing w:after="0" w:line="1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ARTICLE 440.</w:t>
      </w:r>
    </w:p>
    <w:p>
      <w:pPr>
        <w:spacing w:after="0" w:line="12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PLEDGE OF COLLATERAL; RIGHTS OF THE ADMINISTRATIVE AGENT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440.01 Grant of Security.</w:t>
      </w:r>
    </w:p>
    <w:p>
      <w:pPr>
        <w:spacing w:after="0" w:line="147" w:lineRule="exact"/>
        <w:rPr>
          <w:sz w:val="20"/>
          <w:szCs w:val="20"/>
          <w:color w:val="auto"/>
        </w:rPr>
      </w:pPr>
    </w:p>
    <w:p>
      <w:pPr>
        <w:jc w:val="both"/>
        <w:ind w:firstLine="503"/>
        <w:spacing w:after="0" w:line="218" w:lineRule="auto"/>
        <w:tabs>
          <w:tab w:leader="none" w:pos="1011"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grants, pledges, transfers and collaterally assigns to the Administrative Agent, for the benefit of the Secured Parties, as collateral security for all Obligations, a continuing first priority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Section 7.01(a) being collectively referred to herein as the “</w:t>
      </w:r>
      <w:r>
        <w:rPr>
          <w:rFonts w:ascii="Times New Roman" w:cs="Times New Roman" w:eastAsia="Times New Roman" w:hAnsi="Times New Roman"/>
          <w:sz w:val="16"/>
          <w:szCs w:val="16"/>
          <w:i w:val="1"/>
          <w:iCs w:val="1"/>
          <w:color w:val="auto"/>
        </w:rPr>
        <w:t>Collateral</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500" w:firstLine="513"/>
        <w:spacing w:after="0" w:line="235" w:lineRule="auto"/>
        <w:tabs>
          <w:tab w:leader="none" w:pos="1517"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Receivables existing in each Card Account as of the related Cutoff Date for such Card Account; (B) all Receivables arising in each Card Account after the related Cutoff Date for such Card Account and (C) all Collections received on and after the Cutoff Date for the related Card Accounts;</w:t>
      </w:r>
    </w:p>
    <w:p>
      <w:pPr>
        <w:spacing w:after="0" w:line="117" w:lineRule="exact"/>
        <w:rPr>
          <w:rFonts w:ascii="Times New Roman" w:cs="Times New Roman" w:eastAsia="Times New Roman" w:hAnsi="Times New Roman"/>
          <w:sz w:val="16"/>
          <w:szCs w:val="16"/>
          <w:color w:val="auto"/>
        </w:rPr>
      </w:pPr>
    </w:p>
    <w:p>
      <w:pPr>
        <w:jc w:val="both"/>
        <w:ind w:left="500" w:firstLine="513"/>
        <w:spacing w:after="0" w:line="216" w:lineRule="auto"/>
        <w:tabs>
          <w:tab w:leader="none" w:pos="1517"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Related Documents with respect to the Receivables and all rights, remedies, powers, privileges and claims thereunder or in respect thereto, whether arising pursuant to the terms thereof or otherwise available to the Borrower at law or equity, including the right to enforce each such Related Document and each other document, instrument, certificate and agreement relating to the origination, acquisition, collecting, servicing or administration of any Card Accounts or Receivables or the transactions contemplated by the Facility Documents (other than such right, title and interest as it relates solely to Receivables which no longer constitute part of the Collateral);</w:t>
      </w:r>
    </w:p>
    <w:p>
      <w:pPr>
        <w:spacing w:after="0" w:line="126" w:lineRule="exact"/>
        <w:rPr>
          <w:rFonts w:ascii="Times New Roman" w:cs="Times New Roman" w:eastAsia="Times New Roman" w:hAnsi="Times New Roman"/>
          <w:sz w:val="16"/>
          <w:szCs w:val="16"/>
          <w:color w:val="auto"/>
        </w:rPr>
      </w:pPr>
    </w:p>
    <w:p>
      <w:pPr>
        <w:ind w:left="500" w:firstLine="513"/>
        <w:spacing w:after="0" w:line="229" w:lineRule="auto"/>
        <w:tabs>
          <w:tab w:leader="none" w:pos="1518"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Accounts, the Reserve Account and all funds on deposit therein, and interest, dividends, moneys, instruments, securities and other property from time to time received, receivable or otherwise distributed in respect of any or all of the foregoing;</w:t>
      </w:r>
    </w:p>
    <w:p>
      <w:pPr>
        <w:spacing w:after="0" w:line="126" w:lineRule="exact"/>
        <w:rPr>
          <w:rFonts w:ascii="Times New Roman" w:cs="Times New Roman" w:eastAsia="Times New Roman" w:hAnsi="Times New Roman"/>
          <w:sz w:val="16"/>
          <w:szCs w:val="16"/>
          <w:color w:val="auto"/>
        </w:rPr>
      </w:pPr>
    </w:p>
    <w:p>
      <w:pPr>
        <w:jc w:val="both"/>
        <w:ind w:left="500" w:firstLine="513"/>
        <w:spacing w:after="0" w:line="216" w:lineRule="auto"/>
        <w:tabs>
          <w:tab w:leader="none" w:pos="151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Facility Document (other than this Agreement) and any rights of the Borrower under the Originating Bank Agreement relating to the Receivables transferred to the Borrower under the Receivables Purchase Agreement and all rights, remedies, powers, privileges and claims thereunder or in respect thereto (whether arising pursuant to the terms thereof or otherwise available to the Borrower at law or equity), including the right to enforce each such Facility Document and, with respect to rights relating to such Receivables, any Originating Bank Agreement and to give or withhold any and all consents, requests, notices, directions, approvals, extensions or waivers under or with</w:t>
      </w:r>
    </w:p>
    <w:p>
      <w:pPr>
        <w:sectPr>
          <w:pgSz w:w="11900" w:h="16838" w:orient="portrait"/>
          <w:cols w:equalWidth="0" w:num="1">
            <w:col w:w="10760"/>
          </w:cols>
          <w:pgMar w:left="820" w:top="1129" w:right="319" w:bottom="1440" w:gutter="0" w:footer="0" w:header="0"/>
        </w:sectPr>
      </w:pPr>
    </w:p>
    <w:bookmarkStart w:id="289" w:name="page290"/>
    <w:bookmarkEnd w:id="289"/>
    <w:p>
      <w:pPr>
        <w:ind w:left="1020"/>
        <w:spacing w:after="0" w:line="235" w:lineRule="auto"/>
        <w:rPr>
          <w:sz w:val="20"/>
          <w:szCs w:val="20"/>
          <w:color w:val="auto"/>
        </w:rPr>
      </w:pPr>
      <w:r>
        <w:rPr>
          <w:rFonts w:ascii="Times New Roman" w:cs="Times New Roman" w:eastAsia="Times New Roman" w:hAnsi="Times New Roman"/>
          <w:sz w:val="16"/>
          <w:szCs w:val="16"/>
          <w:color w:val="auto"/>
        </w:rPr>
        <w:t>respect thereto, to the same extent as the Borrower could but for the collateral assignment and security interest granted to the Administrative Agent under this Agreement and all UCC financing statements filed by the Borrower against the Seller under or in connection with the Receivables Purchase Agreement;</w:t>
      </w:r>
    </w:p>
    <w:p>
      <w:pPr>
        <w:spacing w:after="0" w:line="117" w:lineRule="exact"/>
        <w:rPr>
          <w:sz w:val="20"/>
          <w:szCs w:val="20"/>
          <w:color w:val="auto"/>
        </w:rPr>
      </w:pPr>
    </w:p>
    <w:p>
      <w:pPr>
        <w:jc w:val="both"/>
        <w:ind w:left="1020" w:firstLine="513"/>
        <w:spacing w:after="0" w:line="226" w:lineRule="auto"/>
        <w:tabs>
          <w:tab w:leader="none" w:pos="2029"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accounts, chattel paper, deposit accounts, documents, equipment, financial assets, general intangibles, instruments, investment property, letters of credit, letter of credit rights, payment intangibles, goods, Money and supporting obligations relating to the foregoing (in each case as defined in the UCC), commercial tort claims and all other property of any type or nature, in each case whether tangible or intangible;</w:t>
      </w:r>
    </w:p>
    <w:p>
      <w:pPr>
        <w:spacing w:after="0" w:line="116" w:lineRule="exact"/>
        <w:rPr>
          <w:rFonts w:ascii="Times New Roman" w:cs="Times New Roman" w:eastAsia="Times New Roman" w:hAnsi="Times New Roman"/>
          <w:sz w:val="16"/>
          <w:szCs w:val="16"/>
          <w:color w:val="auto"/>
        </w:rPr>
      </w:pPr>
    </w:p>
    <w:p>
      <w:pPr>
        <w:ind w:left="1020" w:firstLine="513"/>
        <w:spacing w:after="0" w:line="235" w:lineRule="auto"/>
        <w:tabs>
          <w:tab w:leader="none" w:pos="2030"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security interests, Liens, collateral, guaranties and other agreements or arrangements of whatever character from time to time supporting or securing payment of the assets, investments and properties described above; and</w:t>
      </w:r>
    </w:p>
    <w:p>
      <w:pPr>
        <w:spacing w:after="0" w:line="127" w:lineRule="exact"/>
        <w:rPr>
          <w:rFonts w:ascii="Times New Roman" w:cs="Times New Roman" w:eastAsia="Times New Roman" w:hAnsi="Times New Roman"/>
          <w:sz w:val="16"/>
          <w:szCs w:val="16"/>
          <w:color w:val="auto"/>
        </w:rPr>
      </w:pPr>
    </w:p>
    <w:p>
      <w:pPr>
        <w:ind w:left="2040" w:hanging="507"/>
        <w:spacing w:after="0"/>
        <w:tabs>
          <w:tab w:leader="none" w:pos="2040"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income and Proceeds of any and all of the foregoing;</w:t>
      </w:r>
    </w:p>
    <w:p>
      <w:pPr>
        <w:spacing w:after="0" w:line="166" w:lineRule="exact"/>
        <w:rPr>
          <w:rFonts w:ascii="Times New Roman" w:cs="Times New Roman" w:eastAsia="Times New Roman" w:hAnsi="Times New Roman"/>
          <w:sz w:val="16"/>
          <w:szCs w:val="16"/>
          <w:color w:val="auto"/>
        </w:rPr>
      </w:pPr>
    </w:p>
    <w:p>
      <w:pPr>
        <w:ind w:left="520" w:hanging="6"/>
        <w:spacing w:after="0" w:line="258" w:lineRule="auto"/>
        <w:tabs>
          <w:tab w:leader="none" w:pos="1029"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but excluding (i) funds released to the Borrower pursuant to Section 9.01(b)(x), (ii) Receivables reassigned or repurchased pursuant to Section 5.04 and (iii) Receivables reassigned or repurchased by the Seller or the Servicer pursuant to the Receivables Purchase Agreement or the Servicing Agreement.</w:t>
      </w:r>
    </w:p>
    <w:p>
      <w:pPr>
        <w:spacing w:after="0" w:line="122" w:lineRule="exact"/>
        <w:rPr>
          <w:rFonts w:ascii="Times New Roman" w:cs="Times New Roman" w:eastAsia="Times New Roman" w:hAnsi="Times New Roman"/>
          <w:sz w:val="17"/>
          <w:szCs w:val="17"/>
          <w:color w:val="auto"/>
        </w:rPr>
      </w:pPr>
    </w:p>
    <w:p>
      <w:pPr>
        <w:jc w:val="both"/>
        <w:ind w:left="520" w:firstLine="503"/>
        <w:spacing w:after="0" w:line="242" w:lineRule="auto"/>
        <w:tabs>
          <w:tab w:leader="none" w:pos="1529"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terms used in this Section 7.01 that are defined in the UCC but are not defined in Section 1.01 shall have the respective meanings assigned to such terms in the UCC. The Borrower hereby designates the Administrative Agent as its agent and attorney in fact to prepare and file any UCC financing statement, continuation statement and all other instruments, and take all other actions, required pursuant to Section 7.07. Such designation shall not impose upon the Administrative Agent, or release or diminish, the Borrower’s obligations under this Section 7.01 or Section 7.07. The Borrower further hereby authorizes the Administrative Agent’s, the Borrower’s counsel to file, without the Borrower’s signature, UCC financing statements that name the Borrower, as debtor and the Administrative Agent as secured party and that describe the Collateral in which the Administrative Agent has a grant of security hereunder and any amendments or continuation statements that may be necessary or desirable. The Borrower authorizes the UCC financing statement naming the Borrower as debtor to describe the Collateral therein as “all assets” or words of similar import.</w:t>
      </w:r>
    </w:p>
    <w:p>
      <w:pPr>
        <w:spacing w:after="0" w:line="126" w:lineRule="exact"/>
        <w:rPr>
          <w:rFonts w:ascii="Times New Roman" w:cs="Times New Roman" w:eastAsia="Times New Roman" w:hAnsi="Times New Roman"/>
          <w:sz w:val="14"/>
          <w:szCs w:val="14"/>
          <w:color w:val="auto"/>
        </w:rPr>
      </w:pPr>
    </w:p>
    <w:p>
      <w:pPr>
        <w:jc w:val="both"/>
        <w:ind w:left="520" w:firstLine="503"/>
        <w:spacing w:after="0" w:line="218" w:lineRule="auto"/>
        <w:tabs>
          <w:tab w:leader="none" w:pos="1531"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Borrower acquires any commercial tort claim after the date hereof, Borrower shall promptly (but in any event within ten (10) Business Days after such acquisition) deliver to the Administrative Agent a written description of such commercial tort claim and shall deliver a written agreement, in form and substance satisfactory to the Administrative Agent, granting to the Administrative Agent, as security for the payment of the Obligations, a perfected security interest in all of Borrower’s right, title and interest in and to such commercial tort claim.</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440.02 Release of Security Interest. </w:t>
      </w:r>
      <w:r>
        <w:rPr>
          <w:rFonts w:ascii="Times New Roman" w:cs="Times New Roman" w:eastAsia="Times New Roman" w:hAnsi="Times New Roman"/>
          <w:sz w:val="14"/>
          <w:szCs w:val="14"/>
          <w:color w:val="auto"/>
        </w:rPr>
        <w:t>If all Obligations (other than contingent indemnity obligations not yet due and owing) have been paid in full, the Administrative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Agent (for itself and on behalf of the other Secured Parties) shall, at the expense of the Borrower, promptly execute, deliver and file or authorize for filing such instruments as the</w:t>
      </w:r>
    </w:p>
    <w:p>
      <w:pPr>
        <w:spacing w:after="0" w:line="237" w:lineRule="auto"/>
        <w:rPr>
          <w:sz w:val="20"/>
          <w:szCs w:val="20"/>
          <w:color w:val="auto"/>
        </w:rPr>
      </w:pPr>
      <w:r>
        <w:rPr>
          <w:rFonts w:ascii="Times New Roman" w:cs="Times New Roman" w:eastAsia="Times New Roman" w:hAnsi="Times New Roman"/>
          <w:sz w:val="14"/>
          <w:szCs w:val="14"/>
          <w:color w:val="auto"/>
        </w:rPr>
        <w:t>Borrower shall reasonably request in order to reassign, release or terminate the Secured Parties’ security interest in the Collateral. The Secured Parties acknowledge and agree that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following the execution of a Consent and Release and upon the sale or disposition of any Collateral by the Borrower in compliance with the terms and conditions of this Agreement, the security interest of the Secured Parties in such Collateral shall immediately terminate and the Administrative Agent (for itself and on behalf of the other Secured Parties) shall, at</w:t>
      </w:r>
    </w:p>
    <w:p>
      <w:pPr>
        <w:spacing w:after="0" w:line="237" w:lineRule="auto"/>
        <w:rPr>
          <w:sz w:val="20"/>
          <w:szCs w:val="20"/>
          <w:color w:val="auto"/>
        </w:rPr>
      </w:pPr>
      <w:r>
        <w:rPr>
          <w:rFonts w:ascii="Times New Roman" w:cs="Times New Roman" w:eastAsia="Times New Roman" w:hAnsi="Times New Roman"/>
          <w:sz w:val="14"/>
          <w:szCs w:val="14"/>
          <w:color w:val="auto"/>
        </w:rPr>
        <w:t>the expense of the Borrower, execute, deliver and file or authorize for filing such instrument as the Borrower shall reasonably request to reflect or evidence such termination. Any</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and all actions under this Article 7 in respect of the Collateral shall be without any recourse to, or representation or warranty by any Secured Party and shall be at the sole cost and expense of the Borrower. The Borrower shall not file, or consent to</w:t>
      </w:r>
    </w:p>
    <w:p>
      <w:pPr>
        <w:sectPr>
          <w:pgSz w:w="11900" w:h="16838" w:orient="portrait"/>
          <w:cols w:equalWidth="0" w:num="1">
            <w:col w:w="11280"/>
          </w:cols>
          <w:pgMar w:left="300" w:top="1128" w:right="3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6"/>
          <w:szCs w:val="16"/>
          <w:color w:val="auto"/>
        </w:rPr>
        <w:t>any third-party filing, any UCC financing statement or amendment thereof without the Administrative Agent’s prior written consent.</w:t>
      </w:r>
    </w:p>
    <w:p>
      <w:pPr>
        <w:spacing w:after="0" w:line="14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440.03 Rights and Remedies. </w:t>
      </w:r>
      <w:r>
        <w:rPr>
          <w:rFonts w:ascii="Times New Roman" w:cs="Times New Roman" w:eastAsia="Times New Roman" w:hAnsi="Times New Roman"/>
          <w:sz w:val="14"/>
          <w:szCs w:val="14"/>
          <w:color w:val="auto"/>
        </w:rPr>
        <w:t>The Administrative Agent (for itself and on behalf of the other Secured Parties) shall have all of the rights and remedies of a secured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party under the UCC and other Applicable Law. Upon the occurrence and during the continuance of an Event of Default, the Administrative Agent may (and, subject to direction by</w:t>
      </w:r>
    </w:p>
    <w:p>
      <w:pPr>
        <w:spacing w:after="0" w:line="237" w:lineRule="auto"/>
        <w:rPr>
          <w:sz w:val="20"/>
          <w:szCs w:val="20"/>
          <w:color w:val="auto"/>
        </w:rPr>
      </w:pPr>
      <w:r>
        <w:rPr>
          <w:rFonts w:ascii="Times New Roman" w:cs="Times New Roman" w:eastAsia="Times New Roman" w:hAnsi="Times New Roman"/>
          <w:sz w:val="14"/>
          <w:szCs w:val="14"/>
          <w:color w:val="auto"/>
        </w:rPr>
        <w:t>the Required Lenders, shall), among other remedies: (i) instruct the Borrower to deliver any or all of the Collateral, the Related Documents and any other documents relating to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Collateral to the Administrative Agent or its designees and otherwise give all instructions for the Borrower regarding the Collateral; (ii) sell or otherwise dispose of the Collateral in a commercially reasonable manner, all without judicial process or proceedings; (iii) take control of the Collection Accounts, the Reserve Account or the Proceeds of any such</w:t>
      </w:r>
    </w:p>
    <w:p>
      <w:pPr>
        <w:spacing w:after="0" w:line="208" w:lineRule="auto"/>
        <w:rPr>
          <w:sz w:val="20"/>
          <w:szCs w:val="20"/>
          <w:color w:val="auto"/>
        </w:rPr>
      </w:pPr>
      <w:r>
        <w:rPr>
          <w:rFonts w:ascii="Times New Roman" w:cs="Times New Roman" w:eastAsia="Times New Roman" w:hAnsi="Times New Roman"/>
          <w:sz w:val="16"/>
          <w:szCs w:val="16"/>
          <w:color w:val="auto"/>
        </w:rPr>
        <w:t>Collateral; (iv) subject to the provisions of the applicable Related Documents, exercise any consensual or voting rights in respect of the Collateral; (v) release, make extensions,</w:t>
      </w:r>
    </w:p>
    <w:p>
      <w:pPr>
        <w:jc w:val="both"/>
        <w:spacing w:after="0" w:line="229" w:lineRule="auto"/>
        <w:rPr>
          <w:sz w:val="20"/>
          <w:szCs w:val="20"/>
          <w:color w:val="auto"/>
        </w:rPr>
      </w:pPr>
      <w:r>
        <w:rPr>
          <w:rFonts w:ascii="Times New Roman" w:cs="Times New Roman" w:eastAsia="Times New Roman" w:hAnsi="Times New Roman"/>
          <w:sz w:val="14"/>
          <w:szCs w:val="14"/>
          <w:color w:val="auto"/>
        </w:rPr>
        <w:t>discharges, exchanges or substitutions for, or surrender all or any part of the Collateral; (vi) enforce the Borrower’s rights and remedies with respect to the Collateral; (vii) institute or prosecute legal and equitable proceedings to enforce collection of, or realize upon, any of the Collateral; (viii) require that the Borrower immediately take all actions necessary to</w:t>
      </w:r>
    </w:p>
    <w:p>
      <w:pPr>
        <w:spacing w:after="0" w:line="237" w:lineRule="auto"/>
        <w:rPr>
          <w:sz w:val="20"/>
          <w:szCs w:val="20"/>
          <w:color w:val="auto"/>
        </w:rPr>
      </w:pPr>
      <w:r>
        <w:rPr>
          <w:rFonts w:ascii="Times New Roman" w:cs="Times New Roman" w:eastAsia="Times New Roman" w:hAnsi="Times New Roman"/>
          <w:sz w:val="14"/>
          <w:szCs w:val="14"/>
          <w:color w:val="auto"/>
        </w:rPr>
        <w:t>cause the liquidation of the Collateral in order to pay all amounts due and payable in respect of the Obligations, in accordance with the terms of the Related Documents; (ix) redeem</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or withdraw or cause the Borrower to redeem or withdraw any asset of the Borrower to pay amounts due and payable in respect of the Obligations; (x) make copies of or, if necessary, remove from the Borrower’s, the Backup Servicer’s (when applicable), the Servicer’s and their respective agents’ place of business all books, records and documents</w:t>
      </w:r>
    </w:p>
    <w:p>
      <w:pPr>
        <w:spacing w:after="0" w:line="237" w:lineRule="auto"/>
        <w:rPr>
          <w:sz w:val="20"/>
          <w:szCs w:val="20"/>
          <w:color w:val="auto"/>
        </w:rPr>
      </w:pPr>
      <w:r>
        <w:rPr>
          <w:rFonts w:ascii="Times New Roman" w:cs="Times New Roman" w:eastAsia="Times New Roman" w:hAnsi="Times New Roman"/>
          <w:sz w:val="14"/>
          <w:szCs w:val="14"/>
          <w:color w:val="auto"/>
        </w:rPr>
        <w:t>relating to the Collateral; (xi) endorse the name of the Borrower upon any items of payment relating to the Collateral or upon any proof of claim in bankruptcy against an Obligor;</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and (xii) instruct the English Account Bank to withdraw all funds in the English Collection Accounts and deposit the Dollar Equivalent of all such funds into the Dollar Collection Account within two (2) Business Days of delivering such instruction. The proceeds of any sale or disposition of the Collateral shall be applied in accordance with Section 9.01.</w:t>
      </w:r>
    </w:p>
    <w:p>
      <w:pPr>
        <w:spacing w:after="0" w:line="13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ARTICLE 441. </w:t>
      </w:r>
      <w:r>
        <w:rPr>
          <w:rFonts w:ascii="Times New Roman" w:cs="Times New Roman" w:eastAsia="Times New Roman" w:hAnsi="Times New Roman"/>
          <w:sz w:val="15"/>
          <w:szCs w:val="15"/>
          <w:color w:val="auto"/>
        </w:rPr>
        <w:t>The Borrower hereby agrees that, upon the occurrence and during the continuance of an Event of Default, at the request of the Administrative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or the Required Lenders, it shall execute all documents and agreements which are reasonably necessary or appropriate to have the Collateral to be assigned to the Administrative Agent or its designee. For purposes of taking the actions described in clauses (i) through (xi) of this Section 7.03, the Borrower hereby irrevocably appoints the Administrative Agent as its attorney in fact (which appointment being coupled with an interest and is irrevocable while any of the Obligations remain unpaid, with power of substitution), in the name of the Administrative Agent or in the name of the Borrower or otherwise, for the use and benefit of the Administrative Agent (for the benefit of the Secured Parties), but at the cost and expense of the Borrower and, except as prohibited by Applicable Law, without notice to the Borrower.</w:t>
      </w:r>
    </w:p>
    <w:p>
      <w:pPr>
        <w:spacing w:after="0" w:line="12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Section 441.01 Remedies Cumulative. </w:t>
      </w:r>
      <w:r>
        <w:rPr>
          <w:rFonts w:ascii="Times New Roman" w:cs="Times New Roman" w:eastAsia="Times New Roman" w:hAnsi="Times New Roman"/>
          <w:sz w:val="14"/>
          <w:szCs w:val="14"/>
          <w:color w:val="auto"/>
        </w:rPr>
        <w:t>Each right, power, and remedy of the Administrative Agent and the other Secured Parties, or any of them, as provided for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or in the other Facility Documents or now or hereafter existing at law or in equity or by statute or otherwise shall be cumulative and concurrent and shall be in addition</w:t>
      </w:r>
    </w:p>
    <w:p>
      <w:pPr>
        <w:jc w:val="both"/>
        <w:spacing w:after="0" w:line="229" w:lineRule="auto"/>
        <w:rPr>
          <w:sz w:val="20"/>
          <w:szCs w:val="20"/>
          <w:color w:val="auto"/>
        </w:rPr>
      </w:pPr>
      <w:r>
        <w:rPr>
          <w:rFonts w:ascii="Times New Roman" w:cs="Times New Roman" w:eastAsia="Times New Roman" w:hAnsi="Times New Roman"/>
          <w:sz w:val="14"/>
          <w:szCs w:val="14"/>
          <w:color w:val="auto"/>
        </w:rPr>
        <w:t>to every other right, power, or remedy provided for in this Agreement or in the other Facility Documents or now or hereafter existing at law or in equity or by statute or otherwise, and the exercise or beginning of the exercise by the Administrative Agent or any other Secured Party of any one or more of such rights, powers, or remedies shall not preclude the</w:t>
      </w:r>
    </w:p>
    <w:p>
      <w:pPr>
        <w:spacing w:after="0" w:line="237" w:lineRule="auto"/>
        <w:rPr>
          <w:sz w:val="20"/>
          <w:szCs w:val="20"/>
          <w:color w:val="auto"/>
        </w:rPr>
      </w:pPr>
      <w:r>
        <w:rPr>
          <w:rFonts w:ascii="Times New Roman" w:cs="Times New Roman" w:eastAsia="Times New Roman" w:hAnsi="Times New Roman"/>
          <w:sz w:val="14"/>
          <w:szCs w:val="14"/>
          <w:color w:val="auto"/>
        </w:rPr>
        <w:t>simultaneous or later exercise by such Persons of any or all such other rights, powers, or remedies; provided, however, that no Secured Party may exercise any rights or remedies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hereunder other than through the Administrative Agent or as consented to by the Administrative Agent; provided, further, however, that the Required Lenders may exercise any rights and remedies hereunder if, after directing the Administrative Agent in writing, the Administrative Agent does not comply with such instructions for any reason.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441.02 Related Documents.</w:t>
      </w:r>
    </w:p>
    <w:p>
      <w:pPr>
        <w:sectPr>
          <w:pgSz w:w="11900" w:h="16838" w:orient="portrait"/>
          <w:cols w:equalWidth="0" w:num="1">
            <w:col w:w="11280"/>
          </w:cols>
          <w:pgMar w:left="300" w:top="1129" w:right="319" w:bottom="1440" w:gutter="0" w:footer="0" w:header="0"/>
        </w:sectPr>
      </w:pPr>
    </w:p>
    <w:bookmarkStart w:id="291" w:name="page292"/>
    <w:bookmarkEnd w:id="291"/>
    <w:p>
      <w:pPr>
        <w:jc w:val="both"/>
        <w:ind w:left="520" w:firstLine="503"/>
        <w:spacing w:after="0" w:line="212" w:lineRule="auto"/>
        <w:tabs>
          <w:tab w:leader="none" w:pos="153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agrees that, to the extent not expressly prohibited by the terms of the Related Documents, after the occurrence and during the continuance of an Event of Default, it shall (i) upon the written request of the Administrative Agent, promptly forward to the Administrative Agent, the Servicer and the Backup Servicer (from and after the first date upon which the Backup Servicing Agreement is in effect) (or other successor servicer) all material information and notices which it receives under or in connection with the Related Documents relating to the Collateral, and (ii) upon the written request of the Administrative Agent, act and refrain from acting in respect of any request, act, decision or vote under or in connection with the Related Documents relating to the Collateral only in accordance with the direction of the Administrative Agent.</w:t>
      </w:r>
    </w:p>
    <w:p>
      <w:pPr>
        <w:spacing w:after="0" w:line="160" w:lineRule="exact"/>
        <w:rPr>
          <w:rFonts w:ascii="Times New Roman" w:cs="Times New Roman" w:eastAsia="Times New Roman" w:hAnsi="Times New Roman"/>
          <w:sz w:val="16"/>
          <w:szCs w:val="16"/>
          <w:color w:val="auto"/>
        </w:rPr>
      </w:pPr>
    </w:p>
    <w:p>
      <w:pPr>
        <w:jc w:val="both"/>
        <w:ind w:left="520" w:firstLine="503"/>
        <w:spacing w:after="0" w:line="245" w:lineRule="auto"/>
        <w:tabs>
          <w:tab w:leader="none" w:pos="153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Borrower agrees that, to the extent the same shall be in the Borrower’s possession, it will hold all Related Documents and other documents relating to the Collateral in trust for the Administrative Agent on behalf of the Secured Parties, and upon request of the Administrative Agent or following the occurrence and during the continuance of an Event of Default or as otherwise provided herein, promptly deliver the same to the Administrative Agent or its designee (including the Backup Servicer (from and after the first date upon which the Backup Servicing Agreement is in effect)). In addition, from and after the first date upon which the Backup Servicing Agreement is in effect in accordance with the Backup Servicing Agreement, on each Monthly Reporting Date, the Borrower shall, or shall cause the Servicer to, deliver to the Backup Servicer an electronic file containing all documents and information necessary to permit the Backup Servicer to service the Receivables and any other information relating to each such Receivable required by the Backup Servicing Agreement.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441.03 Borrower Remains Liable.</w:t>
      </w:r>
    </w:p>
    <w:p>
      <w:pPr>
        <w:spacing w:after="0" w:line="147" w:lineRule="exact"/>
        <w:rPr>
          <w:sz w:val="20"/>
          <w:szCs w:val="20"/>
          <w:color w:val="auto"/>
        </w:rPr>
      </w:pPr>
    </w:p>
    <w:p>
      <w:pPr>
        <w:jc w:val="both"/>
        <w:ind w:left="520" w:firstLine="503"/>
        <w:spacing w:after="0" w:line="218" w:lineRule="auto"/>
        <w:tabs>
          <w:tab w:leader="none" w:pos="1531"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48" w:lineRule="exact"/>
        <w:rPr>
          <w:rFonts w:ascii="Times New Roman" w:cs="Times New Roman" w:eastAsia="Times New Roman" w:hAnsi="Times New Roman"/>
          <w:sz w:val="16"/>
          <w:szCs w:val="16"/>
          <w:color w:val="auto"/>
        </w:rPr>
      </w:pPr>
    </w:p>
    <w:p>
      <w:pPr>
        <w:jc w:val="both"/>
        <w:ind w:left="520" w:firstLine="503"/>
        <w:spacing w:after="0" w:line="247" w:lineRule="auto"/>
        <w:tabs>
          <w:tab w:leader="none" w:pos="153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4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441.04 Protection of Collateral. </w:t>
      </w:r>
      <w:r>
        <w:rPr>
          <w:rFonts w:ascii="Times New Roman" w:cs="Times New Roman" w:eastAsia="Times New Roman" w:hAnsi="Times New Roman"/>
          <w:sz w:val="14"/>
          <w:szCs w:val="14"/>
          <w:color w:val="auto"/>
        </w:rPr>
        <w:t>The Borrower shall from time to time execute and deliver, or cause to be executed and delivered, all such supplements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amendments hereto and file or authorize the filing of all such UCC financing statements, continuation statements, instruments of further assurance and other instruments, and shall</w:t>
      </w:r>
    </w:p>
    <w:p>
      <w:pPr>
        <w:spacing w:after="0"/>
        <w:rPr>
          <w:sz w:val="20"/>
          <w:szCs w:val="20"/>
          <w:color w:val="auto"/>
        </w:rPr>
      </w:pPr>
      <w:r>
        <w:rPr>
          <w:rFonts w:ascii="Times New Roman" w:cs="Times New Roman" w:eastAsia="Times New Roman" w:hAnsi="Times New Roman"/>
          <w:sz w:val="16"/>
          <w:szCs w:val="16"/>
          <w:color w:val="auto"/>
        </w:rPr>
        <w:t>take such other action as may be necessary or advisable or desirable to secure the rights and remedies of the Secured Parties hereunder and to:</w:t>
      </w:r>
    </w:p>
    <w:p>
      <w:pPr>
        <w:spacing w:after="0" w:line="127" w:lineRule="exact"/>
        <w:rPr>
          <w:sz w:val="20"/>
          <w:szCs w:val="20"/>
          <w:color w:val="auto"/>
        </w:rPr>
      </w:pPr>
    </w:p>
    <w:p>
      <w:pPr>
        <w:ind w:left="2040" w:hanging="507"/>
        <w:spacing w:after="0"/>
        <w:tabs>
          <w:tab w:leader="none" w:pos="204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security more effectively on all or any portion of the Collateral;</w:t>
      </w:r>
    </w:p>
    <w:p>
      <w:pPr>
        <w:spacing w:after="0" w:line="134" w:lineRule="exact"/>
        <w:rPr>
          <w:rFonts w:ascii="Times New Roman" w:cs="Times New Roman" w:eastAsia="Times New Roman" w:hAnsi="Times New Roman"/>
          <w:sz w:val="16"/>
          <w:szCs w:val="16"/>
          <w:color w:val="auto"/>
        </w:rPr>
      </w:pPr>
    </w:p>
    <w:p>
      <w:pPr>
        <w:ind w:left="1020" w:firstLine="513"/>
        <w:spacing w:after="0" w:line="235" w:lineRule="auto"/>
        <w:tabs>
          <w:tab w:leader="none" w:pos="2037"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preserve and perfect any grant of security made or to be made by this Agreement or any other Facility Document including the first priority nature of the lien or carry out more effectively the purposes hereof;</w:t>
      </w:r>
    </w:p>
    <w:p>
      <w:pPr>
        <w:sectPr>
          <w:pgSz w:w="11900" w:h="16838" w:orient="portrait"/>
          <w:cols w:equalWidth="0" w:num="1">
            <w:col w:w="11280"/>
          </w:cols>
          <w:pgMar w:left="300" w:top="1129" w:right="319" w:bottom="1440" w:gutter="0" w:footer="0" w:header="0"/>
        </w:sectPr>
      </w:pPr>
    </w:p>
    <w:bookmarkStart w:id="292" w:name="page293"/>
    <w:bookmarkEnd w:id="292"/>
    <w:p>
      <w:pPr>
        <w:ind w:left="1020" w:firstLine="513"/>
        <w:spacing w:after="0" w:line="235" w:lineRule="auto"/>
        <w:tabs>
          <w:tab w:leader="none" w:pos="203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perfect, publish notice of or protect the validity of any grant made or to be made by this Agreement (including any and all actions necessary or desirable as a result of changes in law or regulations);</w:t>
      </w:r>
    </w:p>
    <w:p>
      <w:pPr>
        <w:spacing w:after="0" w:line="117" w:lineRule="exact"/>
        <w:rPr>
          <w:rFonts w:ascii="Times New Roman" w:cs="Times New Roman" w:eastAsia="Times New Roman" w:hAnsi="Times New Roman"/>
          <w:sz w:val="16"/>
          <w:szCs w:val="16"/>
          <w:color w:val="auto"/>
        </w:rPr>
      </w:pPr>
    </w:p>
    <w:p>
      <w:pPr>
        <w:ind w:left="2040" w:hanging="507"/>
        <w:spacing w:after="0"/>
        <w:tabs>
          <w:tab w:leader="none" w:pos="204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 any of the Collateral or other instruments or property included in the Collateral;</w:t>
      </w:r>
    </w:p>
    <w:p>
      <w:pPr>
        <w:spacing w:after="0" w:line="144" w:lineRule="exact"/>
        <w:rPr>
          <w:rFonts w:ascii="Times New Roman" w:cs="Times New Roman" w:eastAsia="Times New Roman" w:hAnsi="Times New Roman"/>
          <w:sz w:val="16"/>
          <w:szCs w:val="16"/>
          <w:color w:val="auto"/>
        </w:rPr>
      </w:pPr>
    </w:p>
    <w:p>
      <w:pPr>
        <w:ind w:left="1020" w:firstLine="513"/>
        <w:spacing w:after="0" w:line="235" w:lineRule="auto"/>
        <w:tabs>
          <w:tab w:leader="none" w:pos="2029"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and defend title to the Collateral and the rights therein of the Administrative Agent and the Secured Parties in the Collateral against the claims of all third parties; and</w:t>
      </w:r>
    </w:p>
    <w:p>
      <w:pPr>
        <w:spacing w:after="0" w:line="117" w:lineRule="exact"/>
        <w:rPr>
          <w:rFonts w:ascii="Times New Roman" w:cs="Times New Roman" w:eastAsia="Times New Roman" w:hAnsi="Times New Roman"/>
          <w:sz w:val="16"/>
          <w:szCs w:val="16"/>
          <w:color w:val="auto"/>
        </w:rPr>
      </w:pPr>
    </w:p>
    <w:p>
      <w:pPr>
        <w:ind w:left="2040" w:hanging="507"/>
        <w:spacing w:after="0"/>
        <w:tabs>
          <w:tab w:leader="none" w:pos="204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or cause to be paid any and all taxes levied or assessed upon all or any part of the Collateral.</w:t>
      </w:r>
    </w:p>
    <w:p>
      <w:pPr>
        <w:spacing w:after="0" w:line="16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 xml:space="preserve">ARTICLE 442. </w:t>
      </w:r>
      <w:r>
        <w:rPr>
          <w:rFonts w:ascii="Times New Roman" w:cs="Times New Roman" w:eastAsia="Times New Roman" w:hAnsi="Times New Roman"/>
          <w:sz w:val="15"/>
          <w:szCs w:val="15"/>
          <w:color w:val="auto"/>
        </w:rPr>
        <w:t>The Borrower hereby designates the Administrative Agent as its agent and attorney in fact to prepare and file any UCC financing statement,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continuation statement and all other instruments, and take all other actions, required pursuant to this Section 7.07. Such designation shall not impose upon the Administrative Agent, or release or diminish, the Borrower’s obligations under this Section 7.07 or, in the case of the Borrower only, Section 5.01(c).</w:t>
      </w:r>
    </w:p>
    <w:p>
      <w:pPr>
        <w:spacing w:after="0" w:line="1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443.</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ACCOUNTINGS AND RELEASES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443.01 Collection of Money.</w:t>
      </w:r>
    </w:p>
    <w:p>
      <w:pPr>
        <w:spacing w:after="0" w:line="136" w:lineRule="exact"/>
        <w:rPr>
          <w:sz w:val="20"/>
          <w:szCs w:val="20"/>
          <w:color w:val="auto"/>
        </w:rPr>
      </w:pPr>
    </w:p>
    <w:p>
      <w:pPr>
        <w:jc w:val="both"/>
        <w:ind w:left="520" w:firstLine="503"/>
        <w:spacing w:after="0" w:line="210" w:lineRule="auto"/>
        <w:tabs>
          <w:tab w:leader="none" w:pos="153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provided herein, the Administrative Agent may demand payment or delivery of, and shall receive and collect, directly and without intervention or assistance of any fiscal agent or other intermediary, all Money and other property payable to or receivable by the Administrative Agent pursuant to this Agreement, including all payments due on the Collateral, in accordance with the terms and conditions of such Collateral. The Administrative Agent shall segregate and hold all such Money and property received by it in trust for the Secured Parties and shall apply it as provided in this Agreement. The Dollar Collection Account shall be established and maintained, at all times until the Obligations have been paid in full, under the Collection Account Control Agreement with the Dollar Account Bank. The Dollar Collection Account may contain any number of subaccounts for the convenience of the Administrative Agent or for convenience in administering the Dollar Collection Account or other Collateral. All monies deposited from time to time in the Dollar Collection Account pursuant to this Agreement shall be held by the Dollar Account Bank as part of the Collateral and shall be applied to the purposes herein provided and released to the Borrower only (i) in connection with Releases pursuant to Section 9.01(a) and (ii) on Payment Dates to the extent of funds available under Section 9.01(b).</w:t>
      </w:r>
    </w:p>
    <w:p>
      <w:pPr>
        <w:spacing w:after="0" w:line="121" w:lineRule="exact"/>
        <w:rPr>
          <w:rFonts w:ascii="Times New Roman" w:cs="Times New Roman" w:eastAsia="Times New Roman" w:hAnsi="Times New Roman"/>
          <w:sz w:val="16"/>
          <w:szCs w:val="16"/>
          <w:color w:val="auto"/>
        </w:rPr>
      </w:pPr>
    </w:p>
    <w:p>
      <w:pPr>
        <w:jc w:val="both"/>
        <w:ind w:left="520" w:firstLine="503"/>
        <w:spacing w:after="0" w:line="211" w:lineRule="auto"/>
        <w:tabs>
          <w:tab w:leader="none" w:pos="1529"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date of the initial Advance hereunder, the Borrower shall establish in its name and thereafter maintain, with the Dollar Account Bank, an account which has been designated as the reserve account (the “</w:t>
      </w:r>
      <w:r>
        <w:rPr>
          <w:rFonts w:ascii="Times New Roman" w:cs="Times New Roman" w:eastAsia="Times New Roman" w:hAnsi="Times New Roman"/>
          <w:sz w:val="16"/>
          <w:szCs w:val="16"/>
          <w:i w:val="1"/>
          <w:iCs w:val="1"/>
          <w:color w:val="auto"/>
        </w:rPr>
        <w:t>Reserve Account</w:t>
      </w:r>
      <w:r>
        <w:rPr>
          <w:rFonts w:ascii="Times New Roman" w:cs="Times New Roman" w:eastAsia="Times New Roman" w:hAnsi="Times New Roman"/>
          <w:sz w:val="16"/>
          <w:szCs w:val="16"/>
          <w:color w:val="auto"/>
        </w:rPr>
        <w:t>”) and which shall at all times thereafter be the subject of the Collection Account Control Agreement. On any Payment Date during the Reinvestment Period on which the amount of Collections available for distribution on the related Payment Date is less than the amounts required to be paid on such Payment Date pursuant to Sections 9.01(b)(i), (ii), (iii) and (v) as reported in the applicable Monthly Report, then the Borrower or the Administrator on its behalf shall withdraw from the Reserve Account funds in an amount equal to the applicable Reserve Account Draw Amount (to the extent of the funds available therein) and deposit such funds into the Collection Account on such Payment Date for distribution in accordance with the priority of payments set forth in Section 9.01(b). On the first Payment Date to occur after the Reinvestment Period, the Borrower shall withdraw from the Reserve Account funds in an amount equal to all amounts then on deposit in the Reserve</w:t>
      </w:r>
    </w:p>
    <w:p>
      <w:pPr>
        <w:sectPr>
          <w:pgSz w:w="11900" w:h="16838" w:orient="portrait"/>
          <w:cols w:equalWidth="0" w:num="1">
            <w:col w:w="11280"/>
          </w:cols>
          <w:pgMar w:left="300" w:top="1128" w:right="3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6"/>
          <w:szCs w:val="16"/>
          <w:color w:val="auto"/>
        </w:rPr>
        <w:t>Account and deposit such funds into the Dollar Collection Account for distribution in accordance with the priority of payments set forth in Section 9.01(c).</w:t>
      </w:r>
    </w:p>
    <w:p>
      <w:pPr>
        <w:spacing w:after="0" w:line="145" w:lineRule="exact"/>
        <w:rPr>
          <w:sz w:val="20"/>
          <w:szCs w:val="20"/>
          <w:color w:val="auto"/>
        </w:rPr>
      </w:pPr>
    </w:p>
    <w:p>
      <w:pPr>
        <w:jc w:val="both"/>
        <w:ind w:firstLine="503"/>
        <w:spacing w:after="0" w:line="213" w:lineRule="auto"/>
        <w:tabs>
          <w:tab w:leader="none" w:pos="1011"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Amendment No. 4 Effective Date, the Borrower shall establish in its name and thereafter maintain, with the English Account Bank, (1) an account which has been designated as the Euro Collection Account for the purpose of receiving Collections denominated in Euros and which shall at all times thereafter be the subject of the English Deed of Charge and (2) an account which has been designated as the GBP Collection Account for the purpose of receiving Collections denominated in British Pounds and which shall at all times thereafter be the subject of the English Deed of Charge. All monies deposited from time to time in the English Collection Accounts pursuant to this Agreement shall form part of the Collateral and shall be applied to the purposes herein provided.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443.02 Permitted Sales.</w:t>
      </w:r>
    </w:p>
    <w:p>
      <w:pPr>
        <w:spacing w:after="0" w:line="147" w:lineRule="exact"/>
        <w:rPr>
          <w:sz w:val="20"/>
          <w:szCs w:val="20"/>
          <w:color w:val="auto"/>
        </w:rPr>
      </w:pPr>
    </w:p>
    <w:p>
      <w:pPr>
        <w:jc w:val="both"/>
        <w:ind w:firstLine="503"/>
        <w:spacing w:after="0" w:line="221" w:lineRule="auto"/>
        <w:tabs>
          <w:tab w:leader="none" w:pos="101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Permitted Sale of any Receivable, the Borrower shall deliver a Consent and Release to the Administrative Agent at least ten (10) Business Days prior to the settlement date for any sale of such Receivable certifying that such sale is a Permitted Sale and requesting that the Administrative Agent release or cause to be released such Receivable from the Lien of this Agreement, which notice shall be revocable by the Borrower until such settlement date.</w:t>
      </w:r>
    </w:p>
    <w:p>
      <w:pPr>
        <w:spacing w:after="0" w:line="128" w:lineRule="exact"/>
        <w:rPr>
          <w:rFonts w:ascii="Times New Roman" w:cs="Times New Roman" w:eastAsia="Times New Roman" w:hAnsi="Times New Roman"/>
          <w:sz w:val="16"/>
          <w:szCs w:val="16"/>
          <w:color w:val="auto"/>
        </w:rPr>
      </w:pPr>
    </w:p>
    <w:p>
      <w:pPr>
        <w:jc w:val="both"/>
        <w:ind w:firstLine="503"/>
        <w:spacing w:after="0" w:line="213" w:lineRule="auto"/>
        <w:tabs>
          <w:tab w:leader="none" w:pos="100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Dollar Equivalent of the proceeds of any sale of a Receivable to Seller pursuant to the terms of the Receivables Purchase Agreement or to any other Person as permitted herein shall be deposited directly into the Dollar Collection Account, (ii) the Dollar Equivalent of the proceeds of any sale of a Defaulted Receivable or Ineligible Receivable shall be deposited directly into the Dollar Collection Account following release from any applicable escrow arrangement and (iii) the Dollar Equivalent of the proceeds of any Permitted Sale to a Securitization Vehicle shall be deposited into the Dollar Collection Account and shall be immediately applied to the payments described in Section 9.01(b).</w:t>
      </w:r>
    </w:p>
    <w:p>
      <w:pPr>
        <w:spacing w:after="0" w:line="127" w:lineRule="exact"/>
        <w:rPr>
          <w:rFonts w:ascii="Times New Roman" w:cs="Times New Roman" w:eastAsia="Times New Roman" w:hAnsi="Times New Roman"/>
          <w:sz w:val="16"/>
          <w:szCs w:val="16"/>
          <w:color w:val="auto"/>
        </w:rPr>
      </w:pPr>
    </w:p>
    <w:p>
      <w:pPr>
        <w:ind w:firstLine="503"/>
        <w:spacing w:after="0" w:line="235" w:lineRule="auto"/>
        <w:tabs>
          <w:tab w:leader="none" w:pos="101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Borrower’s compliance with this Section 8.02 and the Administrative Agent’s execution of a Consent and Release, any Receivable that is sold pursuant to Section 8.02(a) shall automatically be released from the Lien of this Agreement.</w:t>
      </w:r>
    </w:p>
    <w:p>
      <w:pPr>
        <w:spacing w:after="0" w:line="117" w:lineRule="exact"/>
        <w:rPr>
          <w:rFonts w:ascii="Times New Roman" w:cs="Times New Roman" w:eastAsia="Times New Roman" w:hAnsi="Times New Roman"/>
          <w:sz w:val="16"/>
          <w:szCs w:val="16"/>
          <w:color w:val="auto"/>
        </w:rPr>
      </w:pPr>
    </w:p>
    <w:p>
      <w:pPr>
        <w:jc w:val="both"/>
        <w:ind w:firstLine="503"/>
        <w:spacing w:after="0" w:line="221" w:lineRule="auto"/>
        <w:tabs>
          <w:tab w:leader="none" w:pos="100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upon receipt of a certificate of a Responsible Officer of the Borrower, at such time as all Obligations of the Borrower hereunder and under the other Facility Documents have been satisfied in full (other than contingent indemnity obligations not yet due and owing), release any remaining Collateral from the Lien of this Agreement.</w:t>
      </w:r>
    </w:p>
    <w:p>
      <w:pPr>
        <w:spacing w:after="0" w:line="128" w:lineRule="exact"/>
        <w:rPr>
          <w:rFonts w:ascii="Times New Roman" w:cs="Times New Roman" w:eastAsia="Times New Roman" w:hAnsi="Times New Roman"/>
          <w:sz w:val="16"/>
          <w:szCs w:val="16"/>
          <w:color w:val="auto"/>
        </w:rPr>
      </w:pPr>
    </w:p>
    <w:p>
      <w:pPr>
        <w:ind w:firstLine="503"/>
        <w:spacing w:after="0" w:line="235" w:lineRule="auto"/>
        <w:tabs>
          <w:tab w:leader="none" w:pos="101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release pursuant to this Section 8.02, the Administrative Agent is hereby irrevocably authorized by the Lenders to execute such documents as shall be reasonably requested by the Borrower to evidence the release of the Lien of this Agreement and the other Facility Documents.</w:t>
      </w:r>
    </w:p>
    <w:p>
      <w:pPr>
        <w:spacing w:after="0" w:line="1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ARTICLE 444.</w:t>
      </w:r>
    </w:p>
    <w:p>
      <w:pPr>
        <w:spacing w:after="0" w:line="13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APPLICATION OF MONIES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444.01 Disbursements of Monies from Collection Account</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jc w:val="both"/>
        <w:ind w:firstLine="503"/>
        <w:spacing w:after="0" w:line="218" w:lineRule="auto"/>
        <w:tabs>
          <w:tab w:leader="none" w:pos="101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any Business Day during the Reinvestment Period, so long as the Recycling Condition is satisfied as of such date, the Borrower or the Servicer on its behalf shall cause the Dollar Account Bank or the English Account Bank to release to the Borrower, from funds on deposit in any Collection Account constituting Collections (excluding the Target Interest and Fees Amount, which shall remain in the Dollar Collection Account), the amount so specified by the Borrower or the Servicer on its behalf, which amount the Borrower shall apply to pay the “Purchase Price” under and as defined in the Receivables Purchase Agreement for Eligible</w:t>
      </w:r>
    </w:p>
    <w:p>
      <w:pPr>
        <w:sectPr>
          <w:pgSz w:w="11900" w:h="16838" w:orient="portrait"/>
          <w:cols w:equalWidth="0" w:num="1">
            <w:col w:w="10760"/>
          </w:cols>
          <w:pgMar w:left="820" w:top="1129" w:right="3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color w:val="auto"/>
        </w:rPr>
        <w:t>Receivables in Eligible Card Accounts (any such release, a “</w:t>
      </w:r>
      <w:r>
        <w:rPr>
          <w:rFonts w:ascii="Times New Roman" w:cs="Times New Roman" w:eastAsia="Times New Roman" w:hAnsi="Times New Roman"/>
          <w:sz w:val="14"/>
          <w:szCs w:val="14"/>
          <w:i w:val="1"/>
          <w:iCs w:val="1"/>
          <w:color w:val="auto"/>
        </w:rPr>
        <w:t>Release</w:t>
      </w:r>
      <w:r>
        <w:rPr>
          <w:rFonts w:ascii="Times New Roman" w:cs="Times New Roman" w:eastAsia="Times New Roman" w:hAnsi="Times New Roman"/>
          <w:sz w:val="14"/>
          <w:szCs w:val="14"/>
          <w:color w:val="auto"/>
        </w:rPr>
        <w:t>”). With respect to the condition described in clause (b) of the definition of “Recycling Condition,” the</w:t>
      </w:r>
    </w:p>
    <w:p>
      <w:pPr>
        <w:spacing w:after="0" w:line="1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Administrative Agent agrees to promptly deliver to Navan the consent described therein if the other requirements specified in the term Recycling Condition are then satisfied.</w:t>
      </w:r>
    </w:p>
    <w:p>
      <w:pPr>
        <w:spacing w:after="0" w:line="127" w:lineRule="exact"/>
        <w:rPr>
          <w:sz w:val="20"/>
          <w:szCs w:val="20"/>
          <w:color w:val="auto"/>
        </w:rPr>
      </w:pPr>
    </w:p>
    <w:p>
      <w:pPr>
        <w:jc w:val="both"/>
        <w:ind w:firstLine="503"/>
        <w:spacing w:after="0" w:line="221" w:lineRule="auto"/>
        <w:tabs>
          <w:tab w:leader="none" w:pos="100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Payment Date during the Reinvestment Period, the Borrower (or the Servicer on its behalf) shall direct the Dollar Account Bank to disburse amounts deposited to the Dollar Collection Account with respect to the Collection Period ending immediately prior to such Payment Date and the Reserve Account Draw Amount (if any) in accordance with the following priorities and the related Monthly Report:</w:t>
      </w:r>
    </w:p>
    <w:p>
      <w:pPr>
        <w:spacing w:after="0" w:line="126" w:lineRule="exact"/>
        <w:rPr>
          <w:rFonts w:ascii="Times New Roman" w:cs="Times New Roman" w:eastAsia="Times New Roman" w:hAnsi="Times New Roman"/>
          <w:sz w:val="16"/>
          <w:szCs w:val="16"/>
          <w:color w:val="auto"/>
        </w:rPr>
      </w:pPr>
    </w:p>
    <w:p>
      <w:pPr>
        <w:jc w:val="both"/>
        <w:ind w:left="500" w:firstLine="513"/>
        <w:spacing w:after="0" w:line="222" w:lineRule="auto"/>
        <w:tabs>
          <w:tab w:leader="none" w:pos="1517"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to the Servicer, any accrued and unpaid Servicer Fees and collection expense reimbursements (excluding indemnities) that are reimbursable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Servicer pursuant to the Servicing Agreement,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any Servicer Fees and collection expense reimbursements (excluding indemnities) that are reimbursable to the Servicer pursuant to the Servicing Agreement which were not paid when due on any prior Payment Date;</w:t>
      </w:r>
    </w:p>
    <w:p>
      <w:pPr>
        <w:spacing w:after="0" w:line="126" w:lineRule="exact"/>
        <w:rPr>
          <w:rFonts w:ascii="Times New Roman" w:cs="Times New Roman" w:eastAsia="Times New Roman" w:hAnsi="Times New Roman"/>
          <w:sz w:val="16"/>
          <w:szCs w:val="16"/>
          <w:color w:val="auto"/>
        </w:rPr>
      </w:pPr>
    </w:p>
    <w:p>
      <w:pPr>
        <w:jc w:val="both"/>
        <w:ind w:left="500" w:firstLine="513"/>
        <w:spacing w:after="0" w:line="212" w:lineRule="auto"/>
        <w:tabs>
          <w:tab w:leader="none" w:pos="1517"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on a pari passu and pro rata basis, (i) when applicable, to the Backup Servicer, any accrued and unpaid fees, reimbursable expenses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indemnities due and payable pursuant to the Facility Documents;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aggregate amount of reimbursable expenses and indemnities payable under this clause (i) shall not exceed $50,000 in aggregate in any calendar year (ii) to the Dollar Account Bank and the English Account Bank, any accrued and unpaid fees, reimbursable expenses and indemnities due and payable pursuant to the Facility Documents;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aggregate amount of reimbursable expenses and indemnities payable under this clause (ii) shall not exceed $50,000 in aggregate in any calendar year and (iii) to the Administrative Agent, any costs and expenses (including legal fees) incurred by it and owing to it pursuant to the English Deed of Charge;</w:t>
      </w:r>
    </w:p>
    <w:p>
      <w:pPr>
        <w:spacing w:after="0" w:line="128"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to the Administrative Agent for distribution to each Class A Lender to pay (A) accrued and unpaid Class A Interest on the Class A Advances,</w:t>
      </w:r>
    </w:p>
    <w:p>
      <w:pPr>
        <w:spacing w:after="0" w:line="18" w:lineRule="exact"/>
        <w:rPr>
          <w:rFonts w:ascii="Times New Roman" w:cs="Times New Roman" w:eastAsia="Times New Roman" w:hAnsi="Times New Roman"/>
          <w:sz w:val="14"/>
          <w:szCs w:val="14"/>
          <w:color w:val="auto"/>
        </w:rPr>
      </w:pPr>
    </w:p>
    <w:p>
      <w:pPr>
        <w:jc w:val="both"/>
        <w:ind w:left="500"/>
        <w:spacing w:after="0" w:line="20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(B) amounts payable to each such Class A Lender or the Administrative Agent under Section 2.09(a), 2.10, 12.03(d) and 12.04, and (C) accrued and unpaid Class A Upfront Fees, Class A Draw Fees (to the extent not previously paid), Class A Prepayment Premiums, Class A Exit Fees, Class A Minimum Utilization Fees and Class A Unused Fees then payable (including any such amounts not paid when due on any preceding Payment Date) to each Class A Lender (in the case of each of subclauses (A), (B) and (C) above,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the respective amounts owed to each Class A Lender); provided, however, that the aggregate amount payable pursuant to subclauses (B) and (C) under this clause (iii) shall not exceed $3,000,000 in aggregate in any calendar year;</w:t>
      </w:r>
    </w:p>
    <w:p>
      <w:pPr>
        <w:spacing w:after="0" w:line="127" w:lineRule="exact"/>
        <w:rPr>
          <w:rFonts w:ascii="Times New Roman" w:cs="Times New Roman" w:eastAsia="Times New Roman" w:hAnsi="Times New Roman"/>
          <w:sz w:val="14"/>
          <w:szCs w:val="14"/>
          <w:color w:val="auto"/>
        </w:rPr>
      </w:pPr>
    </w:p>
    <w:p>
      <w:pPr>
        <w:ind w:left="500" w:firstLine="513"/>
        <w:spacing w:after="0" w:line="230" w:lineRule="auto"/>
        <w:tabs>
          <w:tab w:leader="none" w:pos="151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to each Class A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each Class A Lender’s Class A Percentage) the Class A Regular Principal Distribution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such Payment Date;</w:t>
      </w:r>
    </w:p>
    <w:p>
      <w:pPr>
        <w:spacing w:after="0" w:line="124"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fifth</w:t>
      </w:r>
      <w:r>
        <w:rPr>
          <w:rFonts w:ascii="Times New Roman" w:cs="Times New Roman" w:eastAsia="Times New Roman" w:hAnsi="Times New Roman"/>
          <w:sz w:val="14"/>
          <w:szCs w:val="14"/>
          <w:color w:val="auto"/>
        </w:rPr>
        <w:t>, to the Administrative Agent for distribution to each Class B Lender to pay (A) accrued and unpaid Class B Interest on the Class B Advances,</w:t>
      </w:r>
    </w:p>
    <w:p>
      <w:pPr>
        <w:spacing w:after="0" w:line="18" w:lineRule="exact"/>
        <w:rPr>
          <w:rFonts w:ascii="Times New Roman" w:cs="Times New Roman" w:eastAsia="Times New Roman" w:hAnsi="Times New Roman"/>
          <w:sz w:val="14"/>
          <w:szCs w:val="14"/>
          <w:color w:val="auto"/>
        </w:rPr>
      </w:pPr>
    </w:p>
    <w:p>
      <w:pPr>
        <w:jc w:val="both"/>
        <w:ind w:left="500"/>
        <w:spacing w:after="0" w:line="20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(B) amounts payable to each such Class B Lender or the Administrative Agent under Section 2.09(a), 2.10, 12.03(d) and 12.04, and (C) accrued and unpaid Class B Upfront Fees, Class B Draw Fees (to the extent not previously paid), Class B Prepayment Premiums, Class B Minimum Utilization Fees and Class B Unused Fees then payable (including any such amounts not paid when due on any preceding Payment Date) to each Class B Lender (in the case of each of subclauses (A), (B) and (C) above,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the respective amounts owed to each Class B Lender); provided, however, that the aggregate amount payable pursuant to subclauses (B) and (C) under this clause (v) shall not exceed $3,000,000 in aggregate in any calendar year;</w:t>
      </w:r>
    </w:p>
    <w:p>
      <w:pPr>
        <w:sectPr>
          <w:pgSz w:w="11900" w:h="16838" w:orient="portrait"/>
          <w:cols w:equalWidth="0" w:num="1">
            <w:col w:w="10760"/>
          </w:cols>
          <w:pgMar w:left="820" w:top="1127" w:right="319" w:bottom="1440" w:gutter="0" w:footer="0" w:header="0"/>
        </w:sectPr>
      </w:pPr>
    </w:p>
    <w:bookmarkStart w:id="295" w:name="page296"/>
    <w:bookmarkEnd w:id="295"/>
    <w:p>
      <w:pPr>
        <w:ind w:left="-3" w:firstLine="513"/>
        <w:spacing w:after="0" w:line="237" w:lineRule="auto"/>
        <w:tabs>
          <w:tab w:leader="none" w:pos="1006"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sixth</w:t>
      </w:r>
      <w:r>
        <w:rPr>
          <w:rFonts w:ascii="Times New Roman" w:cs="Times New Roman" w:eastAsia="Times New Roman" w:hAnsi="Times New Roman"/>
          <w:sz w:val="16"/>
          <w:szCs w:val="16"/>
          <w:color w:val="auto"/>
        </w:rPr>
        <w:t>, to each Class B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each Class B Lender’s Class B Percentage) the Class B Regular Principal Distribution Amount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Payment Date;</w:t>
      </w:r>
    </w:p>
    <w:p>
      <w:pPr>
        <w:spacing w:after="0" w:line="114" w:lineRule="exact"/>
        <w:rPr>
          <w:rFonts w:ascii="Times New Roman" w:cs="Times New Roman" w:eastAsia="Times New Roman" w:hAnsi="Times New Roman"/>
          <w:sz w:val="16"/>
          <w:szCs w:val="16"/>
          <w:color w:val="auto"/>
        </w:rPr>
      </w:pPr>
    </w:p>
    <w:p>
      <w:pPr>
        <w:ind w:left="1017" w:hanging="507"/>
        <w:spacing w:after="0"/>
        <w:tabs>
          <w:tab w:leader="none" w:pos="1017"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seventh, </w:t>
      </w:r>
      <w:r>
        <w:rPr>
          <w:rFonts w:ascii="Times New Roman" w:cs="Times New Roman" w:eastAsia="Times New Roman" w:hAnsi="Times New Roman"/>
          <w:sz w:val="16"/>
          <w:szCs w:val="16"/>
          <w:color w:val="auto"/>
        </w:rPr>
        <w:t>if a Reserve Account Trigger Event exists, to the Reserve Account, the Reserve Account Required Deposit Amount;</w:t>
      </w:r>
    </w:p>
    <w:p>
      <w:pPr>
        <w:spacing w:after="0" w:line="144" w:lineRule="exact"/>
        <w:rPr>
          <w:rFonts w:ascii="Times New Roman" w:cs="Times New Roman" w:eastAsia="Times New Roman" w:hAnsi="Times New Roman"/>
          <w:sz w:val="16"/>
          <w:szCs w:val="16"/>
          <w:color w:val="auto"/>
        </w:rPr>
      </w:pPr>
    </w:p>
    <w:p>
      <w:pPr>
        <w:jc w:val="both"/>
        <w:ind w:left="-3" w:firstLine="513"/>
        <w:spacing w:after="0" w:line="222" w:lineRule="auto"/>
        <w:tabs>
          <w:tab w:leader="none" w:pos="1008"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eighth</w:t>
      </w:r>
      <w:r>
        <w:rPr>
          <w:rFonts w:ascii="Times New Roman" w:cs="Times New Roman" w:eastAsia="Times New Roman" w:hAnsi="Times New Roman"/>
          <w:sz w:val="16"/>
          <w:szCs w:val="16"/>
          <w:color w:val="auto"/>
        </w:rPr>
        <w:t>, to the Backup Servicer (when applicable) and the Account Banks, (pro rata, based on the amounts due and owing to each such Person),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equal to all other costs, expenses, fees, indemnities and other amounts then due and owing to such Persons by the Borrower pursuant to this Agreement or any other Facility Document;</w:t>
      </w:r>
    </w:p>
    <w:p>
      <w:pPr>
        <w:spacing w:after="0" w:line="126" w:lineRule="exact"/>
        <w:rPr>
          <w:rFonts w:ascii="Times New Roman" w:cs="Times New Roman" w:eastAsia="Times New Roman" w:hAnsi="Times New Roman"/>
          <w:sz w:val="16"/>
          <w:szCs w:val="16"/>
          <w:color w:val="auto"/>
        </w:rPr>
      </w:pPr>
    </w:p>
    <w:p>
      <w:pPr>
        <w:ind w:left="1017" w:hanging="507"/>
        <w:spacing w:after="0"/>
        <w:tabs>
          <w:tab w:leader="none" w:pos="1017"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ninth</w:t>
      </w:r>
      <w:r>
        <w:rPr>
          <w:rFonts w:ascii="Times New Roman" w:cs="Times New Roman" w:eastAsia="Times New Roman" w:hAnsi="Times New Roman"/>
          <w:sz w:val="16"/>
          <w:szCs w:val="16"/>
          <w:color w:val="auto"/>
        </w:rPr>
        <w:t>, to each Secured Party, all other Obligations then due and owing by the Borrower to such Secured Party;</w:t>
      </w:r>
    </w:p>
    <w:p>
      <w:pPr>
        <w:spacing w:after="0" w:line="144" w:lineRule="exact"/>
        <w:rPr>
          <w:rFonts w:ascii="Times New Roman" w:cs="Times New Roman" w:eastAsia="Times New Roman" w:hAnsi="Times New Roman"/>
          <w:sz w:val="16"/>
          <w:szCs w:val="16"/>
          <w:color w:val="auto"/>
        </w:rPr>
      </w:pPr>
    </w:p>
    <w:p>
      <w:pPr>
        <w:ind w:left="-3" w:firstLine="513"/>
        <w:spacing w:after="0" w:line="230" w:lineRule="auto"/>
        <w:tabs>
          <w:tab w:leader="none" w:pos="1005"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tenth</w:t>
      </w:r>
      <w:r>
        <w:rPr>
          <w:rFonts w:ascii="Times New Roman" w:cs="Times New Roman" w:eastAsia="Times New Roman" w:hAnsi="Times New Roman"/>
          <w:sz w:val="16"/>
          <w:szCs w:val="16"/>
          <w:color w:val="auto"/>
        </w:rPr>
        <w:t>, at the option of the Borrower, to repay the outstanding principal of the Advances in whole or in part (to each Class ratably based on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 Class Percentages and to the Lenders of each Class ratably based on their respective Class A Percentages and Class B Percentages); and</w:t>
      </w:r>
    </w:p>
    <w:p>
      <w:pPr>
        <w:spacing w:after="0" w:line="124" w:lineRule="exact"/>
        <w:rPr>
          <w:rFonts w:ascii="Times New Roman" w:cs="Times New Roman" w:eastAsia="Times New Roman" w:hAnsi="Times New Roman"/>
          <w:sz w:val="16"/>
          <w:szCs w:val="16"/>
          <w:color w:val="auto"/>
        </w:rPr>
      </w:pPr>
    </w:p>
    <w:p>
      <w:pPr>
        <w:jc w:val="both"/>
        <w:ind w:left="-3" w:firstLine="513"/>
        <w:spacing w:after="0" w:line="211" w:lineRule="auto"/>
        <w:tabs>
          <w:tab w:leader="none" w:pos="1006"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eleventh</w:t>
      </w:r>
      <w:r>
        <w:rPr>
          <w:rFonts w:ascii="Times New Roman" w:cs="Times New Roman" w:eastAsia="Times New Roman" w:hAnsi="Times New Roman"/>
          <w:sz w:val="16"/>
          <w:szCs w:val="16"/>
          <w:color w:val="auto"/>
        </w:rPr>
        <w:t>, if no (A) Unmatured Event of Default or (B) Insolvency Event with respect to (i) an Originator or (ii) if a Program Provider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has not been terminated and remains in effect, the related Program Provider, in each case has occurred and is continuing, the remainder to the Borrower to be used, at the discretion of the Borrower, for any prepayment of all or a portion of outstanding principal balance of the Advances (to each Class ratably based on their respective Class Percentages and to the Lenders of each Class ratably based on their respective Class A Percentages and Class B Percentages) or as otherwise directed by the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w:t>
      </w:r>
      <w:r>
        <w:rPr>
          <w:rFonts w:ascii="Times New Roman" w:cs="Times New Roman" w:eastAsia="Times New Roman" w:hAnsi="Times New Roman"/>
          <w:sz w:val="16"/>
          <w:szCs w:val="16"/>
          <w:color w:val="auto"/>
        </w:rPr>
        <w:t>, if any of the events listed in this clause (xi) shall have occurred or be continuing or a distribution of remaining funds to the Borrower pursuant to this clause (xi) would cause a Class A Borrowing Base Deficiency or Class B Borrowing Base Deficiency to occur (after giving effect to all payments and distributions pursuant to this Section 9.01(b) on such Payment Date), the remainder will be retained in the Dollar Collection Account until it is applied in accordance with this Agreement.</w:t>
      </w:r>
    </w:p>
    <w:p>
      <w:pPr>
        <w:spacing w:after="0" w:line="119" w:lineRule="exact"/>
        <w:rPr>
          <w:rFonts w:ascii="Times New Roman" w:cs="Times New Roman" w:eastAsia="Times New Roman" w:hAnsi="Times New Roman"/>
          <w:sz w:val="16"/>
          <w:szCs w:val="16"/>
          <w:color w:val="auto"/>
        </w:rPr>
      </w:pPr>
    </w:p>
    <w:p>
      <w:pPr>
        <w:jc w:val="both"/>
        <w:ind w:left="-503" w:firstLine="503"/>
        <w:spacing w:after="0" w:line="221" w:lineRule="auto"/>
        <w:tabs>
          <w:tab w:leader="none" w:pos="507"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Payment Date after the last day of the Reinvestment Period, the Administrative Agent shall direct the Dollar Account Bank to disburse amounts deposited to the Dollar Collection Account with respect to the Collection Period ending immediately prior to such Payment Date including all amounts deposited from the Reserve Account in accordance with the following priorities and the related Monthly Report:</w:t>
      </w:r>
    </w:p>
    <w:p>
      <w:pPr>
        <w:spacing w:after="0" w:line="126" w:lineRule="exact"/>
        <w:rPr>
          <w:rFonts w:ascii="Times New Roman" w:cs="Times New Roman" w:eastAsia="Times New Roman" w:hAnsi="Times New Roman"/>
          <w:sz w:val="16"/>
          <w:szCs w:val="16"/>
          <w:color w:val="auto"/>
        </w:rPr>
      </w:pPr>
    </w:p>
    <w:p>
      <w:pPr>
        <w:jc w:val="both"/>
        <w:ind w:left="-3" w:firstLine="513"/>
        <w:spacing w:after="0" w:line="222" w:lineRule="auto"/>
        <w:tabs>
          <w:tab w:leader="none" w:pos="1013"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to the Servicer, any accrued and unpaid Servicer Fees and collection expense reimbursements (excluding indemnities) that are reimbursable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Servicer pursuant to the Servicing Agreement,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any Servicer Fees and collection expense reimbursements (excluding indemnities) that are reimbursable to the Servicer pursuant to the Servicing Agreement which were not paid when due on any prior Payment Date;</w:t>
      </w:r>
    </w:p>
    <w:p>
      <w:pPr>
        <w:spacing w:after="0" w:line="126" w:lineRule="exact"/>
        <w:rPr>
          <w:rFonts w:ascii="Times New Roman" w:cs="Times New Roman" w:eastAsia="Times New Roman" w:hAnsi="Times New Roman"/>
          <w:sz w:val="16"/>
          <w:szCs w:val="16"/>
          <w:color w:val="auto"/>
        </w:rPr>
      </w:pPr>
    </w:p>
    <w:p>
      <w:pPr>
        <w:jc w:val="both"/>
        <w:ind w:left="-3" w:firstLine="513"/>
        <w:spacing w:after="0" w:line="212" w:lineRule="auto"/>
        <w:tabs>
          <w:tab w:leader="none" w:pos="1014"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on a pari passu and pro rata basis, (i) when applicable, to the Backup Servicer, any accrued and unpaid fees, reimbursable expenses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indemnities due and payable pursuant to the Facility Documents;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aggregate amount of reimbursable expenses and indemnities payable under this clause (i) shall not exceed $50,000 in aggregate in any calendar year, (ii) to the Dollar Account Bank and the English Account Bank, any accrued and unpaid fees, reimbursable expenses and indemnities due and payable pursuant to the Facility Documents;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aggregate amount of reimbursable expenses and indemnities payable under this clause (ii) shall not exceed $50,000 in aggregate in any calendar year and (iii) to the Administrative Agent, any costs and expenses (including legal fees) incurred by it and owing to it pursuant to the English Deed of Charge;</w:t>
      </w:r>
    </w:p>
    <w:p>
      <w:pPr>
        <w:sectPr>
          <w:pgSz w:w="11900" w:h="16838" w:orient="portrait"/>
          <w:cols w:equalWidth="0" w:num="1">
            <w:col w:w="10257"/>
          </w:cols>
          <w:pgMar w:left="1323" w:top="1127" w:right="319" w:bottom="1440" w:gutter="0" w:footer="0" w:header="0"/>
        </w:sectPr>
      </w:pPr>
    </w:p>
    <w:bookmarkStart w:id="296" w:name="page297"/>
    <w:bookmarkEnd w:id="296"/>
    <w:p>
      <w:pPr>
        <w:ind w:left="1017" w:hanging="507"/>
        <w:spacing w:after="0"/>
        <w:tabs>
          <w:tab w:leader="none" w:pos="1017"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to the Administrative Agent for distribution to each Class A Lender to pay (A) accrued and unpaid Class A Interest on the Class A Advances,</w:t>
      </w:r>
    </w:p>
    <w:p>
      <w:pPr>
        <w:spacing w:after="0" w:line="18" w:lineRule="exact"/>
        <w:rPr>
          <w:rFonts w:ascii="Times New Roman" w:cs="Times New Roman" w:eastAsia="Times New Roman" w:hAnsi="Times New Roman"/>
          <w:sz w:val="14"/>
          <w:szCs w:val="14"/>
          <w:color w:val="auto"/>
        </w:rPr>
      </w:pPr>
    </w:p>
    <w:p>
      <w:pPr>
        <w:jc w:val="both"/>
        <w:ind w:left="-3" w:firstLine="3"/>
        <w:spacing w:after="0" w:line="208" w:lineRule="auto"/>
        <w:tabs>
          <w:tab w:leader="none" w:pos="244"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payable to each such Class A Lender or the Administrative Agent under Section 2.09(a), 2.10, 12.03(d) and 12.04, and (C) accrued and unpaid Class A Upfront Fees, Class A Draw Fees (to the extent not previously paid), Class A Prepayment Premiums, Class A Exit Fees, Class A Minimum Utilization Fees and Class A Unused Fees then payable (including any such amounts not paid when due on any preceding Payment Date) to each Class A Lender (in the case of each of subclauses (A), (B) and (C) above,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the respective amounts owed to each Class A Lender); provided, however, that the aggregate amount payable pursuant to subclauses (B) and (C) under this clause (iii) shall not exceed $3,000,000 in aggregate in any calendar year;</w:t>
      </w:r>
    </w:p>
    <w:p>
      <w:pPr>
        <w:spacing w:after="0" w:line="127" w:lineRule="exact"/>
        <w:rPr>
          <w:rFonts w:ascii="Times New Roman" w:cs="Times New Roman" w:eastAsia="Times New Roman" w:hAnsi="Times New Roman"/>
          <w:sz w:val="16"/>
          <w:szCs w:val="16"/>
          <w:color w:val="auto"/>
        </w:rPr>
      </w:pPr>
    </w:p>
    <w:p>
      <w:pPr>
        <w:jc w:val="both"/>
        <w:ind w:left="-3" w:firstLine="513"/>
        <w:spacing w:after="0" w:line="222" w:lineRule="auto"/>
        <w:tabs>
          <w:tab w:leader="none" w:pos="1006"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to each Class A Lender (pro rata, based on each Class A Lender’s Class A Percentage) the lesser of (A) the amount then on deposit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Dollar Collection Account on such Payment Date after giving effect to the payments pursuant to Section 9.01(c)(i) through (iii) on such Payment Date and (B) the Class A Aggregate Loan Principal Balance on such Payment Date;</w:t>
      </w:r>
    </w:p>
    <w:p>
      <w:pPr>
        <w:spacing w:after="0" w:line="126" w:lineRule="exact"/>
        <w:rPr>
          <w:rFonts w:ascii="Times New Roman" w:cs="Times New Roman" w:eastAsia="Times New Roman" w:hAnsi="Times New Roman"/>
          <w:sz w:val="16"/>
          <w:szCs w:val="16"/>
          <w:color w:val="auto"/>
        </w:rPr>
      </w:pPr>
    </w:p>
    <w:p>
      <w:pPr>
        <w:ind w:left="1017" w:hanging="507"/>
        <w:spacing w:after="0"/>
        <w:tabs>
          <w:tab w:leader="none" w:pos="1017"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fifth</w:t>
      </w:r>
      <w:r>
        <w:rPr>
          <w:rFonts w:ascii="Times New Roman" w:cs="Times New Roman" w:eastAsia="Times New Roman" w:hAnsi="Times New Roman"/>
          <w:sz w:val="14"/>
          <w:szCs w:val="14"/>
          <w:color w:val="auto"/>
        </w:rPr>
        <w:t>, to the Administrative Agent for distribution to each Class B Lender to pay (A) accrued and unpaid Class B Interest on the Class B Advances,</w:t>
      </w:r>
    </w:p>
    <w:p>
      <w:pPr>
        <w:spacing w:after="0" w:line="18" w:lineRule="exact"/>
        <w:rPr>
          <w:rFonts w:ascii="Times New Roman" w:cs="Times New Roman" w:eastAsia="Times New Roman" w:hAnsi="Times New Roman"/>
          <w:sz w:val="14"/>
          <w:szCs w:val="14"/>
          <w:color w:val="auto"/>
        </w:rPr>
      </w:pPr>
    </w:p>
    <w:p>
      <w:pPr>
        <w:jc w:val="both"/>
        <w:ind w:left="-3" w:firstLine="3"/>
        <w:spacing w:after="0" w:line="208" w:lineRule="auto"/>
        <w:tabs>
          <w:tab w:leader="none" w:pos="24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payable to each such Class B Lender or the Administrative Agent under Section 2.09(a), 2.10, 12.03(d) and 12.04, and (C) accrued and unpaid Class B Upfront Fees, Class B Draw Fees (to the extent not previously paid), Class B Prepayment Premiums, Class B Minimum Utilization Fees and Class B Unused Fees then payable (including any such amounts not paid when due on any preceding Payment Date) to each Class B Lender (in the case of each of subclauses (A), (B) and (C) above,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the respective amounts owed to each Class B Lender); provided, however, that the aggregate amount payable pursuant to subclauses (B) and (C) under this clause (v) shall not exceed $3,000,000 in aggregate in any calendar year;</w:t>
      </w:r>
    </w:p>
    <w:p>
      <w:pPr>
        <w:spacing w:after="0" w:line="127" w:lineRule="exact"/>
        <w:rPr>
          <w:rFonts w:ascii="Times New Roman" w:cs="Times New Roman" w:eastAsia="Times New Roman" w:hAnsi="Times New Roman"/>
          <w:sz w:val="16"/>
          <w:szCs w:val="16"/>
          <w:color w:val="auto"/>
        </w:rPr>
      </w:pPr>
    </w:p>
    <w:p>
      <w:pPr>
        <w:jc w:val="both"/>
        <w:ind w:left="-3" w:firstLine="513"/>
        <w:spacing w:after="0" w:line="222" w:lineRule="auto"/>
        <w:tabs>
          <w:tab w:leader="none" w:pos="1006"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sixth</w:t>
      </w:r>
      <w:r>
        <w:rPr>
          <w:rFonts w:ascii="Times New Roman" w:cs="Times New Roman" w:eastAsia="Times New Roman" w:hAnsi="Times New Roman"/>
          <w:sz w:val="16"/>
          <w:szCs w:val="16"/>
          <w:color w:val="auto"/>
        </w:rPr>
        <w:t>, to each Class B Lender (pro rata, based on each Class B Lender’s Class B Percentage) the lesser of (A) the amount then on deposit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Dollar Collection Account on such Payment Date after giving effect to the payments pursuant to Section 9.01(c)(i) through (v) on such Payment Date and (B) the Class B Aggregate Loan Principal Balance on such Payment Date;</w:t>
      </w:r>
    </w:p>
    <w:p>
      <w:pPr>
        <w:spacing w:after="0" w:line="126" w:lineRule="exact"/>
        <w:rPr>
          <w:rFonts w:ascii="Times New Roman" w:cs="Times New Roman" w:eastAsia="Times New Roman" w:hAnsi="Times New Roman"/>
          <w:sz w:val="16"/>
          <w:szCs w:val="16"/>
          <w:color w:val="auto"/>
        </w:rPr>
      </w:pPr>
    </w:p>
    <w:p>
      <w:pPr>
        <w:jc w:val="both"/>
        <w:ind w:left="-3" w:firstLine="513"/>
        <w:spacing w:after="0" w:line="222" w:lineRule="auto"/>
        <w:tabs>
          <w:tab w:leader="none" w:pos="1007"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seventh</w:t>
      </w:r>
      <w:r>
        <w:rPr>
          <w:rFonts w:ascii="Times New Roman" w:cs="Times New Roman" w:eastAsia="Times New Roman" w:hAnsi="Times New Roman"/>
          <w:sz w:val="16"/>
          <w:szCs w:val="16"/>
          <w:color w:val="auto"/>
        </w:rPr>
        <w:t>, to the Backup Servicer (when applicable) and the Dollar Account Bank and the English Account Bank, (pro rata, based on the amounts due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owing to each such Person), an amount equal to all other costs, expenses, fees, indemnities and other amounts then due and owing to such Persons by the Borrower pursuant to this Agreement or any other the Facility Document;</w:t>
      </w:r>
    </w:p>
    <w:p>
      <w:pPr>
        <w:spacing w:after="0" w:line="126" w:lineRule="exact"/>
        <w:rPr>
          <w:rFonts w:ascii="Times New Roman" w:cs="Times New Roman" w:eastAsia="Times New Roman" w:hAnsi="Times New Roman"/>
          <w:sz w:val="16"/>
          <w:szCs w:val="16"/>
          <w:color w:val="auto"/>
        </w:rPr>
      </w:pPr>
    </w:p>
    <w:p>
      <w:pPr>
        <w:ind w:left="1017" w:hanging="507"/>
        <w:spacing w:after="0"/>
        <w:tabs>
          <w:tab w:leader="none" w:pos="1017"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eighth</w:t>
      </w:r>
      <w:r>
        <w:rPr>
          <w:rFonts w:ascii="Times New Roman" w:cs="Times New Roman" w:eastAsia="Times New Roman" w:hAnsi="Times New Roman"/>
          <w:sz w:val="16"/>
          <w:szCs w:val="16"/>
          <w:color w:val="auto"/>
        </w:rPr>
        <w:t>, to each Secured Party, all other Obligations then due and owing by the Borrower to such Secured Party; and</w:t>
      </w:r>
    </w:p>
    <w:p>
      <w:pPr>
        <w:spacing w:after="0" w:line="134" w:lineRule="exact"/>
        <w:rPr>
          <w:rFonts w:ascii="Times New Roman" w:cs="Times New Roman" w:eastAsia="Times New Roman" w:hAnsi="Times New Roman"/>
          <w:sz w:val="16"/>
          <w:szCs w:val="16"/>
          <w:color w:val="auto"/>
        </w:rPr>
      </w:pPr>
    </w:p>
    <w:p>
      <w:pPr>
        <w:ind w:left="1017" w:hanging="507"/>
        <w:spacing w:after="0"/>
        <w:tabs>
          <w:tab w:leader="none" w:pos="1017"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ninth</w:t>
      </w:r>
      <w:r>
        <w:rPr>
          <w:rFonts w:ascii="Times New Roman" w:cs="Times New Roman" w:eastAsia="Times New Roman" w:hAnsi="Times New Roman"/>
          <w:sz w:val="16"/>
          <w:szCs w:val="16"/>
          <w:color w:val="auto"/>
        </w:rPr>
        <w:t>, to the Borrower all remaining amounts then on deposit in the Dollar Collection Account.</w:t>
      </w:r>
    </w:p>
    <w:p>
      <w:pPr>
        <w:spacing w:after="0" w:line="147" w:lineRule="exact"/>
        <w:rPr>
          <w:sz w:val="20"/>
          <w:szCs w:val="20"/>
          <w:color w:val="auto"/>
        </w:rPr>
      </w:pPr>
    </w:p>
    <w:p>
      <w:pPr>
        <w:jc w:val="both"/>
        <w:ind w:left="-503" w:firstLine="503"/>
        <w:spacing w:after="0" w:line="221" w:lineRule="auto"/>
        <w:tabs>
          <w:tab w:leader="none" w:pos="50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amounts remaining in the Dollar Collection Account after the application of clause 9.01(b)(x) above shall remain in the Dollar Collection Account and shall be subject to Release pursuant to Section 9.01(a) or shall be applied pursuant to Section 9.01(b) or Section 9.01(c), as applicable, on the next succeeding Payment Date.</w:t>
      </w:r>
    </w:p>
    <w:p>
      <w:pPr>
        <w:spacing w:after="0" w:line="128" w:lineRule="exact"/>
        <w:rPr>
          <w:rFonts w:ascii="Times New Roman" w:cs="Times New Roman" w:eastAsia="Times New Roman" w:hAnsi="Times New Roman"/>
          <w:sz w:val="16"/>
          <w:szCs w:val="16"/>
          <w:color w:val="auto"/>
        </w:rPr>
      </w:pPr>
    </w:p>
    <w:p>
      <w:pPr>
        <w:jc w:val="both"/>
        <w:ind w:left="-503" w:firstLine="503"/>
        <w:spacing w:after="0" w:line="221" w:lineRule="auto"/>
        <w:tabs>
          <w:tab w:leader="none" w:pos="507"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any Business Day during the Reinvestment Period, upon two (2) Business Days prior written notice to the Administrative Agent and the Dollar Account Bank, the Borrower or the Servicer on its behalf may instruct the Dollar Account Bank to release to the Borrower, from funds on deposit in the Dollar Collection Account, the Revenue Share in respect of any Receivable that is not an Eligible Receivable and that has never been identified as an Eligible</w:t>
      </w:r>
    </w:p>
    <w:p>
      <w:pPr>
        <w:sectPr>
          <w:pgSz w:w="11900" w:h="16838" w:orient="portrait"/>
          <w:cols w:equalWidth="0" w:num="1">
            <w:col w:w="10257"/>
          </w:cols>
          <w:pgMar w:left="1323" w:top="1126" w:right="319" w:bottom="1440" w:gutter="0" w:footer="0" w:header="0"/>
        </w:sectPr>
      </w:pPr>
    </w:p>
    <w:bookmarkStart w:id="297" w:name="page298"/>
    <w:bookmarkEnd w:id="297"/>
    <w:p>
      <w:pPr>
        <w:ind w:left="520"/>
        <w:spacing w:after="0"/>
        <w:rPr>
          <w:sz w:val="20"/>
          <w:szCs w:val="20"/>
          <w:color w:val="auto"/>
        </w:rPr>
      </w:pPr>
      <w:r>
        <w:rPr>
          <w:rFonts w:ascii="Times New Roman" w:cs="Times New Roman" w:eastAsia="Times New Roman" w:hAnsi="Times New Roman"/>
          <w:sz w:val="16"/>
          <w:szCs w:val="16"/>
          <w:color w:val="auto"/>
        </w:rPr>
        <w:t>Receivable in any report, certificate or Borrowing Base Certificate. Each written notice delivered by the Borrower or the Servicer pursuant to this Section 9.01© shall</w:t>
      </w:r>
    </w:p>
    <w:p>
      <w:pPr>
        <w:ind w:left="520"/>
        <w:spacing w:after="0" w:line="217" w:lineRule="auto"/>
        <w:rPr>
          <w:sz w:val="20"/>
          <w:szCs w:val="20"/>
          <w:color w:val="auto"/>
        </w:rPr>
      </w:pPr>
      <w:r>
        <w:rPr>
          <w:rFonts w:ascii="Times New Roman" w:cs="Times New Roman" w:eastAsia="Times New Roman" w:hAnsi="Times New Roman"/>
          <w:sz w:val="16"/>
          <w:szCs w:val="16"/>
          <w:color w:val="auto"/>
        </w:rPr>
        <w:t>include the amount of funds to be released and a certification that no Accelerated Amortization Event or Event of Default will occur or exist after giving effect to such release.</w:t>
      </w:r>
    </w:p>
    <w:p>
      <w:pPr>
        <w:spacing w:after="0" w:line="127" w:lineRule="exact"/>
        <w:rPr>
          <w:sz w:val="20"/>
          <w:szCs w:val="20"/>
          <w:color w:val="auto"/>
        </w:rPr>
      </w:pPr>
    </w:p>
    <w:p>
      <w:pPr>
        <w:ind w:left="520" w:firstLine="503"/>
        <w:spacing w:after="0" w:line="235" w:lineRule="auto"/>
        <w:tabs>
          <w:tab w:leader="none" w:pos="153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on which all Obligations have been paid in full, any funds remaining in the Collection Accounts or the Reserve Account shall be released to the Borrower or its designee and exclusive control of the Collection Accounts and the Reserve Account shall revert to the Borrower.</w:t>
      </w:r>
    </w:p>
    <w:p>
      <w:pPr>
        <w:spacing w:after="0" w:line="1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445.</w:t>
      </w:r>
    </w:p>
    <w:p>
      <w:pPr>
        <w:spacing w:after="0" w:line="13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ADMINISTRATION AND SERVICING OF COLLATERAL</w:t>
      </w:r>
    </w:p>
    <w:p>
      <w:pPr>
        <w:spacing w:after="0" w:line="134" w:lineRule="exact"/>
        <w:rPr>
          <w:sz w:val="20"/>
          <w:szCs w:val="20"/>
          <w:color w:val="auto"/>
        </w:rPr>
      </w:pPr>
    </w:p>
    <w:p>
      <w:pPr>
        <w:jc w:val="both"/>
        <w:ind w:firstLine="509"/>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Section 445.01 Designation of the Servicer. </w:t>
      </w:r>
      <w:r>
        <w:rPr>
          <w:rFonts w:ascii="Times New Roman" w:cs="Times New Roman" w:eastAsia="Times New Roman" w:hAnsi="Times New Roman"/>
          <w:sz w:val="14"/>
          <w:szCs w:val="14"/>
          <w:color w:val="auto"/>
        </w:rPr>
        <w:t>The servicing, administering and collection of the Collateral shall be conducted by the Person designated as a servicer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the Servicing Agreement or the Backup Servicing Agreement (from and after the first date upon which the Backup Servicing Agreement is in effect), as applicable.</w:t>
      </w:r>
    </w:p>
    <w:p>
      <w:pPr>
        <w:spacing w:after="0" w:line="8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Section 445.02 Authorization of the Servicer</w:t>
      </w:r>
      <w:r>
        <w:rPr>
          <w:rFonts w:ascii="Times New Roman" w:cs="Times New Roman" w:eastAsia="Times New Roman" w:hAnsi="Times New Roman"/>
          <w:sz w:val="14"/>
          <w:szCs w:val="14"/>
          <w:color w:val="auto"/>
        </w:rPr>
        <w:t>. The Borrower shall furnish the Servicer (and any successors thereto) with any powers of attorney and other documents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reasonably necessary to enable such Servicer to carry out its Collateral management duties under the Servicing Agreement, and shall cooperate with the Servicer to the fullest extent</w:t>
      </w:r>
    </w:p>
    <w:p>
      <w:pPr>
        <w:spacing w:after="0" w:line="208" w:lineRule="auto"/>
        <w:rPr>
          <w:sz w:val="20"/>
          <w:szCs w:val="20"/>
          <w:color w:val="auto"/>
        </w:rPr>
      </w:pPr>
      <w:r>
        <w:rPr>
          <w:rFonts w:ascii="Times New Roman" w:cs="Times New Roman" w:eastAsia="Times New Roman" w:hAnsi="Times New Roman"/>
          <w:sz w:val="16"/>
          <w:szCs w:val="16"/>
          <w:color w:val="auto"/>
        </w:rPr>
        <w:t>in order to ensure the collectability of the Collateral. Following the occurrence and continuance of an Event of Default (unless otherwise waived by the required parties in</w:t>
      </w:r>
    </w:p>
    <w:p>
      <w:pPr>
        <w:spacing w:after="0" w:line="256" w:lineRule="auto"/>
        <w:rPr>
          <w:sz w:val="20"/>
          <w:szCs w:val="20"/>
          <w:color w:val="auto"/>
        </w:rPr>
      </w:pPr>
      <w:r>
        <w:rPr>
          <w:rFonts w:ascii="Times New Roman" w:cs="Times New Roman" w:eastAsia="Times New Roman" w:hAnsi="Times New Roman"/>
          <w:sz w:val="14"/>
          <w:szCs w:val="14"/>
          <w:color w:val="auto"/>
        </w:rPr>
        <w:t>accordance with Section 12.01), the Administrative Agent (acting in its sole discretion or at the direction of the Required Lenders) may provide notice to the Servicer (and any successors thereto) (with a copy to the Backup Servicer) that the Secured Parties are exercising their control rights with respect to the Collateral in accordance with Section 6.02.</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445.03 Appointment of Backup Servicer. </w:t>
      </w:r>
      <w:r>
        <w:rPr>
          <w:rFonts w:ascii="Times New Roman" w:cs="Times New Roman" w:eastAsia="Times New Roman" w:hAnsi="Times New Roman"/>
          <w:sz w:val="14"/>
          <w:szCs w:val="14"/>
          <w:color w:val="auto"/>
        </w:rPr>
        <w:t>Upon resignation of the Servicer under the Servicing Agreement or the occurrence and continuance of a Servicer Event of</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Default, the Administrative Agent may (with the consent of the Required Lenders and the Required Class B Lenders) at any time require the Borrower to appoint the Backup Servicer, as servicer of the Receivables in accordance with the Backup Servicing Agreement. The Borrower shall promptly comply with any such request from the Administrative</w:t>
      </w:r>
    </w:p>
    <w:p>
      <w:pPr>
        <w:spacing w:after="0" w:line="217" w:lineRule="auto"/>
        <w:rPr>
          <w:sz w:val="20"/>
          <w:szCs w:val="20"/>
          <w:color w:val="auto"/>
        </w:rPr>
      </w:pPr>
      <w:r>
        <w:rPr>
          <w:rFonts w:ascii="Times New Roman" w:cs="Times New Roman" w:eastAsia="Times New Roman" w:hAnsi="Times New Roman"/>
          <w:sz w:val="16"/>
          <w:szCs w:val="16"/>
          <w:color w:val="auto"/>
        </w:rPr>
        <w:t>Agent. The Borrower shall provide direction to the applicable Backup Servicer with respect to modifications of the terms of the Receivables in accordance with the requirements set forth in the Servicing Agreement, and shall comply with all restrictions with respect to the release, discharge, termination or cancellation of any Receivable.</w:t>
      </w:r>
    </w:p>
    <w:p>
      <w:pPr>
        <w:spacing w:after="0" w:line="1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446.</w:t>
      </w:r>
    </w:p>
    <w:p>
      <w:pPr>
        <w:spacing w:after="0" w:line="1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THE ADMINISTRATIVE AGENT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446.01 Authorization and Action. </w:t>
      </w:r>
      <w:r>
        <w:rPr>
          <w:rFonts w:ascii="Times New Roman" w:cs="Times New Roman" w:eastAsia="Times New Roman" w:hAnsi="Times New Roman"/>
          <w:sz w:val="14"/>
          <w:szCs w:val="14"/>
          <w:color w:val="auto"/>
        </w:rPr>
        <w:t>Each Lender hereby irrevocably appoints and authorizes the Administrative Agent to take such action as agent on its behalf and to</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exercise such powers under this Agreement and, to the extent applicable, the other Facility Documents as are delegated to the Administrative Agent by the terms hereof and thereof, together with such powers as are reasonably incidental thereto, subject to the terms hereof. The Administrative Agent shall not have any duties or responsibilities, except those</w:t>
      </w:r>
    </w:p>
    <w:p>
      <w:pPr>
        <w:spacing w:after="0" w:line="237" w:lineRule="auto"/>
        <w:rPr>
          <w:sz w:val="20"/>
          <w:szCs w:val="20"/>
          <w:color w:val="auto"/>
        </w:rPr>
      </w:pPr>
      <w:r>
        <w:rPr>
          <w:rFonts w:ascii="Times New Roman" w:cs="Times New Roman" w:eastAsia="Times New Roman" w:hAnsi="Times New Roman"/>
          <w:sz w:val="14"/>
          <w:szCs w:val="14"/>
          <w:color w:val="auto"/>
        </w:rPr>
        <w:t>expressly set forth herein or in the other Facility Documents, or any fiduciary relationship with any Secured Party, and no implied covenants, functions, responsibilities, duties or</w:t>
      </w:r>
    </w:p>
    <w:p>
      <w:pPr>
        <w:spacing w:after="0" w:line="1"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obligations or liabilities on the part of the Administrative Agent shall be read into this Agreement or any other Facility Document to which the Administrative Agent is a party (if any) as duties on its part to be performed or observed. The Administrative Agent shall not have or be construed to have any other duties or responsibilities in respect of this</w:t>
      </w:r>
    </w:p>
    <w:p>
      <w:pPr>
        <w:spacing w:after="0"/>
        <w:rPr>
          <w:sz w:val="20"/>
          <w:szCs w:val="20"/>
          <w:color w:val="auto"/>
        </w:rPr>
      </w:pPr>
      <w:r>
        <w:rPr>
          <w:rFonts w:ascii="Times New Roman" w:cs="Times New Roman" w:eastAsia="Times New Roman" w:hAnsi="Times New Roman"/>
          <w:sz w:val="14"/>
          <w:szCs w:val="14"/>
          <w:color w:val="auto"/>
        </w:rPr>
        <w:t>Agreement and the transactions contemplated hereby. As to any matters not expressly provided for by this Agreement or the other Facility Documents, the Administrative Agent</w:t>
      </w:r>
    </w:p>
    <w:p>
      <w:pPr>
        <w:spacing w:after="0" w:line="217" w:lineRule="auto"/>
        <w:rPr>
          <w:sz w:val="20"/>
          <w:szCs w:val="20"/>
          <w:color w:val="auto"/>
        </w:rPr>
      </w:pPr>
      <w:r>
        <w:rPr>
          <w:rFonts w:ascii="Times New Roman" w:cs="Times New Roman" w:eastAsia="Times New Roman" w:hAnsi="Times New Roman"/>
          <w:sz w:val="16"/>
          <w:szCs w:val="16"/>
          <w:color w:val="auto"/>
        </w:rPr>
        <w:t xml:space="preserve">shall not be required to exercise any discretion or take any action, but shall be required to act or to refrain from acting (and shall be fully protected in so acting or refraining from acting) upon the written instructions of the Required Lenders;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Administrative Agent shall not be</w:t>
      </w:r>
    </w:p>
    <w:p>
      <w:pPr>
        <w:sectPr>
          <w:pgSz w:w="11900" w:h="16838" w:orient="portrait"/>
          <w:cols w:equalWidth="0" w:num="1">
            <w:col w:w="11280"/>
          </w:cols>
          <w:pgMar w:left="300" w:top="1122" w:right="3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4"/>
          <w:szCs w:val="14"/>
          <w:color w:val="auto"/>
        </w:rPr>
        <w:t>required to take any action which exposes the Administrative Agent, in its judgment, to personal liability or which is contrary to this Agreement, the other Facility Documents or</w:t>
      </w:r>
    </w:p>
    <w:p>
      <w:pPr>
        <w:spacing w:after="0" w:line="1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Applicable Law, or would be, in its judgment, contrary to its duties hereunder, under any other Facility Document or under Applicable Law. Each Lender agrees that in any instance in which the Facility Documents provide that the Administrative Agent’s consent may not be unreasonably withheld, provide for the exercise of the Administrative Agent’s</w:t>
      </w:r>
    </w:p>
    <w:p>
      <w:pPr>
        <w:jc w:val="both"/>
        <w:spacing w:after="0" w:line="224" w:lineRule="auto"/>
        <w:rPr>
          <w:sz w:val="20"/>
          <w:szCs w:val="20"/>
          <w:color w:val="auto"/>
        </w:rPr>
      </w:pPr>
      <w:r>
        <w:rPr>
          <w:rFonts w:ascii="Times New Roman" w:cs="Times New Roman" w:eastAsia="Times New Roman" w:hAnsi="Times New Roman"/>
          <w:sz w:val="16"/>
          <w:szCs w:val="16"/>
          <w:color w:val="auto"/>
        </w:rPr>
        <w:t>reasonable discretion, or provide to a similar effect, it shall not in its instructions (or, by refusing to provide instruction) to the Administrative Agent withhold its consent or exercise its discretion in an unreasonable manner.</w:t>
      </w:r>
    </w:p>
    <w:p>
      <w:pPr>
        <w:spacing w:after="0" w:line="114"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6"/>
          <w:szCs w:val="16"/>
          <w:i w:val="1"/>
          <w:iCs w:val="1"/>
          <w:color w:val="auto"/>
        </w:rPr>
        <w:t xml:space="preserve">Section 446.02 Delegation of Duties. </w:t>
      </w:r>
      <w:r>
        <w:rPr>
          <w:rFonts w:ascii="Times New Roman" w:cs="Times New Roman" w:eastAsia="Times New Roman" w:hAnsi="Times New Roman"/>
          <w:sz w:val="16"/>
          <w:szCs w:val="16"/>
          <w:color w:val="auto"/>
        </w:rPr>
        <w:t>The Administrative Agent may execute any of its duties under this Agreement and each other Facility Document by or through agents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attorneys in fact and shall be entitled to advice of counsel concerning all matters pertaining to such duties. The Administrative Agent shall not be responsible for the negligence or misconduct of any agents or attorneys in fact selected by it with reasonable care.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446.03 Agent’s Reliance, Etc.</w:t>
      </w:r>
    </w:p>
    <w:p>
      <w:pPr>
        <w:spacing w:after="0" w:line="147" w:lineRule="exact"/>
        <w:rPr>
          <w:sz w:val="20"/>
          <w:szCs w:val="20"/>
          <w:color w:val="auto"/>
        </w:rPr>
      </w:pPr>
    </w:p>
    <w:p>
      <w:pPr>
        <w:jc w:val="both"/>
        <w:ind w:left="520" w:firstLine="503"/>
        <w:spacing w:after="0" w:line="206" w:lineRule="auto"/>
        <w:tabs>
          <w:tab w:leader="none" w:pos="1531"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Administrative Agent nor any of its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the Administrative Agent: (i) may consult with legal counsel (including counsel for the Borrower or any Servicer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any Servicer or any other Person or to inspect the property (including the books and records) of the Borrower or such Servicer;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Monthly Report), instruction or waiver, report, statement, opinion, direction or other instrument or writing (which may be delivered by email) believed by it to be genuine and believe by it to be signed or sent by the proper party or parties. The Administrative Agent shall not have any liability to the Borrower or any Lender or any other Person for the Borrower’s, any Servicer’s or any Lender’s, as the case may be, performance of, or failure to perform, any of their respective obligations and duties under this Agreement or any other Facility Document.</w:t>
      </w:r>
    </w:p>
    <w:p>
      <w:pPr>
        <w:spacing w:after="0" w:line="157" w:lineRule="exact"/>
        <w:rPr>
          <w:rFonts w:ascii="Times New Roman" w:cs="Times New Roman" w:eastAsia="Times New Roman" w:hAnsi="Times New Roman"/>
          <w:sz w:val="16"/>
          <w:szCs w:val="16"/>
          <w:color w:val="auto"/>
        </w:rPr>
      </w:pPr>
    </w:p>
    <w:p>
      <w:pPr>
        <w:jc w:val="both"/>
        <w:ind w:left="520" w:firstLine="503"/>
        <w:spacing w:after="0" w:line="245" w:lineRule="auto"/>
        <w:tabs>
          <w:tab w:leader="none" w:pos="153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Administrative Agent shall be entitled to assume the due authority of any signatory and genuineness of any signature appearing on any instrument or document it may receive (including each Notice of Borrowing received hereunder). The Administrative Agent shall not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to provide, written instruction to exercise such discretion or grant such consent</w:t>
      </w:r>
    </w:p>
    <w:p>
      <w:pPr>
        <w:sectPr>
          <w:pgSz w:w="11900" w:h="16838" w:orient="portrait"/>
          <w:cols w:equalWidth="0" w:num="1">
            <w:col w:w="11280"/>
          </w:cols>
          <w:pgMar w:left="300" w:top="1129" w:right="319" w:bottom="1440" w:gutter="0" w:footer="0" w:header="0"/>
        </w:sectPr>
      </w:pPr>
    </w:p>
    <w:bookmarkStart w:id="299" w:name="page300"/>
    <w:bookmarkEnd w:id="299"/>
    <w:p>
      <w:pPr>
        <w:jc w:val="both"/>
        <w:ind w:left="520"/>
        <w:spacing w:after="0" w:line="285" w:lineRule="auto"/>
        <w:rPr>
          <w:sz w:val="20"/>
          <w:szCs w:val="20"/>
          <w:color w:val="auto"/>
        </w:rPr>
      </w:pPr>
      <w:r>
        <w:rPr>
          <w:rFonts w:ascii="Times New Roman" w:cs="Times New Roman" w:eastAsia="Times New Roman" w:hAnsi="Times New Roman"/>
          <w:sz w:val="14"/>
          <w:szCs w:val="14"/>
          <w:color w:val="auto"/>
        </w:rPr>
        <w:t>from the Required Lenders). The Administrative Agent shall not be liable for any error of judgment made in good faith unless it shall be determined by a court of competent jurisdiction that the Administrative Agent was grossly negligent in ascertaining the relevant facts. Nothing herein or in any Facility Documents or Related Documents shall obligate the Administrative Agent to advance, expend or risk its own funds, or to take any action which in its reasonable judgment may cause it to incur any expense or financial or other liability for which it is not adequately indemnified. The Administrative Agent shall not be liable for any indirect, special or consequential damages (included but not limited to lost profits) whatsoever, even if it has been informed of the likelihood thereof and regardless of the form of action. The Administrative Agent shall not be charged with knowledge or notice of any matter unless actually known to a Responsible Officer of the Administrative Agent, or unless and to the extent written notice of such matter is received by the Administrative Agent at its address in accordance with Section 12.02. Any permissive grant of power to the Administrative Agent hereunder shall not be construed to be a duty to act. The Administrative Agent shall not be bound to make any investigation into the facts or matters stated in any resolution, certificate, statement, instrument, opinion, report, notice, request, consent, entitlement order, approval or other paper or document. The Administrative Agent shall not be liable for any error of judgment, or for any act done or step taken or omitted by it, in good faith, or for any mistakes of fact or law, or for anything that it may do or refrain from doing in connection herewith except in the case of its willful misconduct, bad fair, reckless disregard or grossly negligent performance or omission of its duties.</w:t>
      </w:r>
    </w:p>
    <w:p>
      <w:pPr>
        <w:spacing w:after="0" w:line="338" w:lineRule="exact"/>
        <w:rPr>
          <w:sz w:val="20"/>
          <w:szCs w:val="20"/>
          <w:color w:val="auto"/>
        </w:rPr>
      </w:pPr>
    </w:p>
    <w:p>
      <w:pPr>
        <w:jc w:val="both"/>
        <w:ind w:left="520" w:firstLine="503"/>
        <w:spacing w:after="0" w:line="246" w:lineRule="auto"/>
        <w:tabs>
          <w:tab w:leader="none" w:pos="1536"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Administrative Agent shall not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31"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6"/>
          <w:szCs w:val="16"/>
          <w:i w:val="1"/>
          <w:iCs w:val="1"/>
          <w:color w:val="auto"/>
        </w:rPr>
        <w:t xml:space="preserve">Section 446.04 Indemnification. </w:t>
      </w:r>
      <w:r>
        <w:rPr>
          <w:rFonts w:ascii="Times New Roman" w:cs="Times New Roman" w:eastAsia="Times New Roman" w:hAnsi="Times New Roman"/>
          <w:sz w:val="16"/>
          <w:szCs w:val="16"/>
          <w:color w:val="auto"/>
        </w:rPr>
        <w:t>Each of the Lenders severally (and not jointly) agrees to indemnify and hold the Administrative Agent harmless (to the extent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reimbursed by or on behalf of the Borrower pursuant to Section 12.04, by any other Affiliate of Navan or otherwise) from and against any and all liabilities, obligations, losses,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damages, penalties, actions, judgments, suits, costs, expenses (including reasonable and documented attorneys’ fees and expenses) or disbursements of any kind or nature whatsoever which may be imposed on, incurred by, or asserted against the Administrative Agent in any way relating to or arising out of its role as Administrative Agent under this</w:t>
      </w:r>
    </w:p>
    <w:p>
      <w:pPr>
        <w:spacing w:after="0" w:line="208" w:lineRule="auto"/>
        <w:rPr>
          <w:sz w:val="20"/>
          <w:szCs w:val="20"/>
          <w:color w:val="auto"/>
        </w:rPr>
      </w:pPr>
      <w:r>
        <w:rPr>
          <w:rFonts w:ascii="Times New Roman" w:cs="Times New Roman" w:eastAsia="Times New Roman" w:hAnsi="Times New Roman"/>
          <w:sz w:val="16"/>
          <w:szCs w:val="16"/>
          <w:color w:val="auto"/>
        </w:rPr>
        <w:t>Agreement or any other Facility Document or any Related Document or any action taken or omitted by the Administrative Agent under this Agreement or any other Facility</w:t>
      </w:r>
    </w:p>
    <w:p>
      <w:pPr>
        <w:jc w:val="both"/>
        <w:spacing w:after="0" w:line="229" w:lineRule="auto"/>
        <w:rPr>
          <w:sz w:val="20"/>
          <w:szCs w:val="20"/>
          <w:color w:val="auto"/>
        </w:rPr>
      </w:pPr>
      <w:r>
        <w:rPr>
          <w:rFonts w:ascii="Times New Roman" w:cs="Times New Roman" w:eastAsia="Times New Roman" w:hAnsi="Times New Roman"/>
          <w:sz w:val="14"/>
          <w:szCs w:val="14"/>
          <w:color w:val="auto"/>
        </w:rPr>
        <w:t>Document or any Related Document, in each case, to the extent that the Borrower or any other Affiliate of Navan is required to and does not indemnify the Administrative Agent pursuant to the Facility Documents or any Related Document; provided that (i) no Lender shall be liable to the Administrative Agent for any portion of such liabilities, obligations,</w:t>
      </w:r>
    </w:p>
    <w:p>
      <w:pPr>
        <w:spacing w:after="0" w:line="237" w:lineRule="auto"/>
        <w:rPr>
          <w:sz w:val="20"/>
          <w:szCs w:val="20"/>
          <w:color w:val="auto"/>
        </w:rPr>
      </w:pPr>
      <w:r>
        <w:rPr>
          <w:rFonts w:ascii="Times New Roman" w:cs="Times New Roman" w:eastAsia="Times New Roman" w:hAnsi="Times New Roman"/>
          <w:sz w:val="14"/>
          <w:szCs w:val="14"/>
          <w:color w:val="auto"/>
        </w:rPr>
        <w:t>losses, damages, penalties, actions, judgments, suits, costs, expenses or disbursements resulting from the Administrative Agent’s gross negligence or willful misconduct and (ii) no</w:t>
      </w:r>
    </w:p>
    <w:p>
      <w:pPr>
        <w:spacing w:after="0" w:line="1"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Lender shall be liable for any amount in respect of any compromise or settlement of any of the foregoing unless such compromise or settlement is approved by the Required Lenders. The rights of the Administrative Agent and obligations of the Lenders under or pursuant to this Section 11.04 shall survive the termination of this Agreement,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earlier removal or resignation of the Administrative Agent hereunder.</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446.05 Successor Administrative Agent. </w:t>
      </w:r>
      <w:r>
        <w:rPr>
          <w:rFonts w:ascii="Times New Roman" w:cs="Times New Roman" w:eastAsia="Times New Roman" w:hAnsi="Times New Roman"/>
          <w:sz w:val="14"/>
          <w:szCs w:val="14"/>
          <w:color w:val="auto"/>
        </w:rPr>
        <w:t>Subject to the terms of this Section 11.05, the Administrative Agent may resign as Administrative Agent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Agent’s sole discretion at any time upon thirty (30) days’ notice to the Lenders and the Borrower. If the Administrative Agent shall resign then the Required Lenders</w:t>
      </w:r>
    </w:p>
    <w:p>
      <w:pPr>
        <w:spacing w:after="0"/>
        <w:rPr>
          <w:sz w:val="20"/>
          <w:szCs w:val="20"/>
          <w:color w:val="auto"/>
        </w:rPr>
      </w:pPr>
      <w:r>
        <w:rPr>
          <w:rFonts w:ascii="Times New Roman" w:cs="Times New Roman" w:eastAsia="Times New Roman" w:hAnsi="Times New Roman"/>
          <w:sz w:val="16"/>
          <w:szCs w:val="16"/>
          <w:color w:val="auto"/>
        </w:rPr>
        <w:t>shall appoint a successor agent. If for any reason a successor agent is not so appointed and does not accept such appointment within thirty (30) days of notice of</w:t>
      </w:r>
    </w:p>
    <w:p>
      <w:pPr>
        <w:sectPr>
          <w:pgSz w:w="11900" w:h="16838" w:orient="portrait"/>
          <w:cols w:equalWidth="0" w:num="1">
            <w:col w:w="11280"/>
          </w:cols>
          <w:pgMar w:left="300" w:top="1139" w:right="3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6"/>
          <w:szCs w:val="16"/>
          <w:color w:val="auto"/>
        </w:rPr>
        <w:t>resignation the Administrative Agent may appoint a successor agent. The appointment of any successor Administrative Agent shall be subject to the prior written consent of the</w:t>
      </w:r>
    </w:p>
    <w:p>
      <w:pPr>
        <w:spacing w:after="0" w:line="229" w:lineRule="auto"/>
        <w:rPr>
          <w:sz w:val="20"/>
          <w:szCs w:val="20"/>
          <w:color w:val="auto"/>
        </w:rPr>
      </w:pPr>
      <w:r>
        <w:rPr>
          <w:rFonts w:ascii="Times New Roman" w:cs="Times New Roman" w:eastAsia="Times New Roman" w:hAnsi="Times New Roman"/>
          <w:sz w:val="14"/>
          <w:szCs w:val="14"/>
          <w:color w:val="auto"/>
        </w:rPr>
        <w:t>Borrower (which consent shall not be unreasonably withheld, conditioned or delayed); provided that the consent of the Borrower to any such appointment shall not be required if (i) an Event of Default shall have occurred and is continuing or, (ii) if such successor Administrative Agent is a Lender or an Affiliate of such Administrative Agent or any Lender. Any</w:t>
      </w:r>
    </w:p>
    <w:p>
      <w:pPr>
        <w:spacing w:after="0" w:line="208" w:lineRule="auto"/>
        <w:rPr>
          <w:sz w:val="20"/>
          <w:szCs w:val="20"/>
          <w:color w:val="auto"/>
        </w:rPr>
      </w:pPr>
      <w:r>
        <w:rPr>
          <w:rFonts w:ascii="Times New Roman" w:cs="Times New Roman" w:eastAsia="Times New Roman" w:hAnsi="Times New Roman"/>
          <w:sz w:val="16"/>
          <w:szCs w:val="16"/>
          <w:color w:val="auto"/>
        </w:rPr>
        <w:t>resignation of the Administrative Agent shall be effective upon the appointment of a successor agent pursuant to this Section 11.05. After the effectiveness of the retiring</w:t>
      </w:r>
    </w:p>
    <w:p>
      <w:pPr>
        <w:spacing w:after="0" w:line="229" w:lineRule="auto"/>
        <w:rPr>
          <w:sz w:val="20"/>
          <w:szCs w:val="20"/>
          <w:color w:val="auto"/>
        </w:rPr>
      </w:pPr>
      <w:r>
        <w:rPr>
          <w:rFonts w:ascii="Times New Roman" w:cs="Times New Roman" w:eastAsia="Times New Roman" w:hAnsi="Times New Roman"/>
          <w:sz w:val="14"/>
          <w:szCs w:val="14"/>
          <w:color w:val="auto"/>
        </w:rPr>
        <w:t>Administrative Agent’s resignation hereunder as the Administrative Agent, the retiring Administrative Agent shall be discharged from its duties and obligations hereunder and under the other Facility Documents and the provisions of this Article 11 shall continue in effect for its benefit with respect to any actions taken or omitted to be taken by it while it was the</w:t>
      </w:r>
    </w:p>
    <w:p>
      <w:pPr>
        <w:spacing w:after="0" w:line="237" w:lineRule="auto"/>
        <w:rPr>
          <w:sz w:val="20"/>
          <w:szCs w:val="20"/>
          <w:color w:val="auto"/>
        </w:rPr>
      </w:pPr>
      <w:r>
        <w:rPr>
          <w:rFonts w:ascii="Times New Roman" w:cs="Times New Roman" w:eastAsia="Times New Roman" w:hAnsi="Times New Roman"/>
          <w:sz w:val="14"/>
          <w:szCs w:val="14"/>
          <w:color w:val="auto"/>
        </w:rPr>
        <w:t>Administrative Agent under this Agreement and under the other Facility Documents. Any Person (i) into which the Administrative Agent may be merged or consolidated, (ii) that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may result from any merger or consolidation to which the Administrative Agent shall be a party, or (iii) that may succeed to the properties and assets of the Administrative Agent substantially as a whole, shall be the successor to the Administrative Agent under this Agreement without further act of any of the parties to this Agreement. If the Administrative</w:t>
      </w:r>
    </w:p>
    <w:p>
      <w:pPr>
        <w:spacing w:after="0" w:line="237" w:lineRule="auto"/>
        <w:rPr>
          <w:sz w:val="20"/>
          <w:szCs w:val="20"/>
          <w:color w:val="auto"/>
        </w:rPr>
      </w:pPr>
      <w:r>
        <w:rPr>
          <w:rFonts w:ascii="Times New Roman" w:cs="Times New Roman" w:eastAsia="Times New Roman" w:hAnsi="Times New Roman"/>
          <w:sz w:val="14"/>
          <w:szCs w:val="14"/>
          <w:color w:val="auto"/>
        </w:rPr>
        <w:t>Agent is a Class A Lender or an Affiliate thereof on the date on which the Class A Committed Amount has expired or terminated and all Class A Obligations have been reduced to</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zero, such Administrative Agent shall provide immediate notice of resignation to the Borrower and the Class B Lenders, and the Required Class B Lenders shall have the right, upon five (5) Business Days’ notice to the Borrower, to appoint a successor Administrative Agent.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Section 446.06 Administrative Agent’s Capacity as a Lender. </w:t>
      </w:r>
      <w:r>
        <w:rPr>
          <w:rFonts w:ascii="Times New Roman" w:cs="Times New Roman" w:eastAsia="Times New Roman" w:hAnsi="Times New Roman"/>
          <w:sz w:val="16"/>
          <w:szCs w:val="16"/>
          <w:color w:val="auto"/>
        </w:rPr>
        <w:t>The Person serving as the Administrative Agent hereunder shall have the same rights and powers in its</w:t>
      </w:r>
    </w:p>
    <w:p>
      <w:pPr>
        <w:spacing w:after="0" w:line="217" w:lineRule="auto"/>
        <w:rPr>
          <w:sz w:val="20"/>
          <w:szCs w:val="20"/>
          <w:color w:val="auto"/>
        </w:rPr>
      </w:pPr>
      <w:r>
        <w:rPr>
          <w:rFonts w:ascii="Times New Roman" w:cs="Times New Roman" w:eastAsia="Times New Roman" w:hAnsi="Times New Roman"/>
          <w:sz w:val="16"/>
          <w:szCs w:val="16"/>
          <w:color w:val="auto"/>
        </w:rPr>
        <w:t>capacity as a Lender as any other Lender and may exercise the same as though it were not the Administrative Agent, and such Person and its Affiliates may accept deposits from, lend money to and generally engage in any kind of business with the Borrower or any Affiliate thereof as if it were not the Administrative Agent hereunder.</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Section 446.07 Delivery of Notices and Reports. </w:t>
      </w:r>
      <w:r>
        <w:rPr>
          <w:rFonts w:ascii="Times New Roman" w:cs="Times New Roman" w:eastAsia="Times New Roman" w:hAnsi="Times New Roman"/>
          <w:sz w:val="16"/>
          <w:szCs w:val="16"/>
          <w:color w:val="auto"/>
        </w:rPr>
        <w:t>Promptly upon receipt thereof, the Administrative Agent shall distribute all notices and reports (including, for the</w:t>
      </w:r>
    </w:p>
    <w:p>
      <w:pPr>
        <w:spacing w:after="0" w:line="217" w:lineRule="auto"/>
        <w:rPr>
          <w:sz w:val="20"/>
          <w:szCs w:val="20"/>
          <w:color w:val="auto"/>
        </w:rPr>
      </w:pPr>
      <w:r>
        <w:rPr>
          <w:rFonts w:ascii="Times New Roman" w:cs="Times New Roman" w:eastAsia="Times New Roman" w:hAnsi="Times New Roman"/>
          <w:sz w:val="16"/>
          <w:szCs w:val="16"/>
          <w:color w:val="auto"/>
        </w:rPr>
        <w:t>avoidance of doubt, all materials received by it pursuant to Section 5.01(d) and (h) and Section 7.03) received by it pursuant to this Agreement to each Lender at the address for such Lender determined in accordance with Section 11.02.</w:t>
      </w:r>
    </w:p>
    <w:p>
      <w:pPr>
        <w:spacing w:after="0" w:line="125"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i w:val="1"/>
          <w:iCs w:val="1"/>
          <w:color w:val="auto"/>
        </w:rPr>
        <w:t>Section 446.08 Invoice</w:t>
      </w:r>
      <w:r>
        <w:rPr>
          <w:rFonts w:ascii="Times New Roman" w:cs="Times New Roman" w:eastAsia="Times New Roman" w:hAnsi="Times New Roman"/>
          <w:sz w:val="16"/>
          <w:szCs w:val="16"/>
          <w:color w:val="auto"/>
        </w:rPr>
        <w:t>. Without limiting the applicability of Article 11, to the extent the Administrative Agent or a Class A Lender reasonably expects to be entitled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claim indemnity amounts the Administrative Agent shall use reasonable efforts to invoice and claim such amounts on a current basis as they arise and to notify the Class B</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Representative of the same, provided that and for the avoidance of doubt, neither the Administrative Agent nor any Class A Lender shall be liable for the failure to provide any notice to any party under this Section 11.08 as provided hereunder.</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446.09 Erroneous Payments.</w:t>
      </w:r>
    </w:p>
    <w:p>
      <w:pPr>
        <w:spacing w:after="0" w:line="147" w:lineRule="exact"/>
        <w:rPr>
          <w:sz w:val="20"/>
          <w:szCs w:val="20"/>
          <w:color w:val="auto"/>
        </w:rPr>
      </w:pPr>
    </w:p>
    <w:p>
      <w:pPr>
        <w:jc w:val="both"/>
        <w:ind w:left="520" w:firstLine="503"/>
        <w:spacing w:after="0"/>
        <w:tabs>
          <w:tab w:leader="none" w:pos="1531"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Administrative Agent notifies a Lender or another Secured Party, or any Person who has received funds on behalf of a Lender or another Secured Party (any such Lender, Secured Party or other recipient, a “</w:t>
      </w:r>
      <w:r>
        <w:rPr>
          <w:rFonts w:ascii="Times New Roman" w:cs="Times New Roman" w:eastAsia="Times New Roman" w:hAnsi="Times New Roman"/>
          <w:sz w:val="14"/>
          <w:szCs w:val="14"/>
          <w:i w:val="1"/>
          <w:iCs w:val="1"/>
          <w:color w:val="auto"/>
        </w:rPr>
        <w:t>Payment Recipient</w:t>
      </w:r>
      <w:r>
        <w:rPr>
          <w:rFonts w:ascii="Times New Roman" w:cs="Times New Roman" w:eastAsia="Times New Roman" w:hAnsi="Times New Roman"/>
          <w:sz w:val="14"/>
          <w:szCs w:val="14"/>
          <w:color w:val="auto"/>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4"/>
          <w:szCs w:val="14"/>
          <w:i w:val="1"/>
          <w:iCs w:val="1"/>
          <w:color w:val="auto"/>
        </w:rPr>
        <w:t>Erroneous Payment</w:t>
      </w:r>
      <w:r>
        <w:rPr>
          <w:rFonts w:ascii="Times New Roman" w:cs="Times New Roman" w:eastAsia="Times New Roman" w:hAnsi="Times New Roman"/>
          <w:sz w:val="14"/>
          <w:szCs w:val="14"/>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w:t>
      </w:r>
    </w:p>
    <w:p>
      <w:pPr>
        <w:sectPr>
          <w:pgSz w:w="11900" w:h="16838" w:orient="portrait"/>
          <w:cols w:equalWidth="0" w:num="1">
            <w:col w:w="11280"/>
          </w:cols>
          <w:pgMar w:left="300" w:top="1122" w:right="3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4"/>
          <w:szCs w:val="14"/>
          <w:color w:val="auto"/>
        </w:rPr>
        <w:t>together with interest thereon in respect of each day from and including the date such Erroneous Payment (or portion thereof) was received by such Payment Recipient to</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the date such amount is repaid to the Administrative Agent at the same rate the Borrower was required to pay Interest hereunder during such period to (i) a Class A Lender (if the Erroneous Payment was meant to be paid to a Class A Lender) and (ii) a Class B Lender (if the Erroneous Payment was meant to be paid to a Class B Lender or any</w:t>
      </w:r>
    </w:p>
    <w:p>
      <w:pPr>
        <w:spacing w:after="0"/>
        <w:rPr>
          <w:sz w:val="20"/>
          <w:szCs w:val="20"/>
          <w:color w:val="auto"/>
        </w:rPr>
      </w:pPr>
      <w:r>
        <w:rPr>
          <w:rFonts w:ascii="Times New Roman" w:cs="Times New Roman" w:eastAsia="Times New Roman" w:hAnsi="Times New Roman"/>
          <w:sz w:val="16"/>
          <w:szCs w:val="16"/>
          <w:color w:val="auto"/>
        </w:rPr>
        <w:t>other Person). A notice of the Administrative Agent to any Payment Recipient under this clause (a) shall be conclusive, absent manifest error.</w:t>
      </w:r>
    </w:p>
    <w:p>
      <w:pPr>
        <w:spacing w:after="0" w:line="127" w:lineRule="exact"/>
        <w:rPr>
          <w:sz w:val="20"/>
          <w:szCs w:val="20"/>
          <w:color w:val="auto"/>
        </w:rPr>
      </w:pPr>
    </w:p>
    <w:p>
      <w:pPr>
        <w:jc w:val="both"/>
        <w:ind w:firstLine="503"/>
        <w:spacing w:after="0" w:line="212" w:lineRule="auto"/>
        <w:tabs>
          <w:tab w:leader="none" w:pos="100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Secured Party, or other such recipient, otherwise becomes aware was transmitted, or received, in error or by mistake (in whole or in part):</w:t>
      </w:r>
    </w:p>
    <w:p>
      <w:pPr>
        <w:spacing w:after="0" w:line="128" w:lineRule="exact"/>
        <w:rPr>
          <w:rFonts w:ascii="Times New Roman" w:cs="Times New Roman" w:eastAsia="Times New Roman" w:hAnsi="Times New Roman"/>
          <w:sz w:val="16"/>
          <w:szCs w:val="16"/>
          <w:color w:val="auto"/>
        </w:rPr>
      </w:pPr>
    </w:p>
    <w:p>
      <w:pPr>
        <w:jc w:val="both"/>
        <w:ind w:left="500" w:firstLine="513"/>
        <w:spacing w:after="0" w:line="221" w:lineRule="auto"/>
        <w:tabs>
          <w:tab w:leader="none" w:pos="1517"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28" w:lineRule="exact"/>
        <w:rPr>
          <w:rFonts w:ascii="Times New Roman" w:cs="Times New Roman" w:eastAsia="Times New Roman" w:hAnsi="Times New Roman"/>
          <w:sz w:val="16"/>
          <w:szCs w:val="16"/>
          <w:color w:val="auto"/>
        </w:rPr>
      </w:pPr>
    </w:p>
    <w:p>
      <w:pPr>
        <w:jc w:val="both"/>
        <w:ind w:left="500" w:firstLine="513"/>
        <w:spacing w:after="0" w:line="221" w:lineRule="auto"/>
        <w:tabs>
          <w:tab w:leader="none" w:pos="1517"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Section 11.07(b).</w:t>
      </w:r>
    </w:p>
    <w:p>
      <w:pPr>
        <w:spacing w:after="0" w:line="128" w:lineRule="exact"/>
        <w:rPr>
          <w:rFonts w:ascii="Times New Roman" w:cs="Times New Roman" w:eastAsia="Times New Roman" w:hAnsi="Times New Roman"/>
          <w:sz w:val="16"/>
          <w:szCs w:val="16"/>
          <w:color w:val="auto"/>
        </w:rPr>
      </w:pPr>
    </w:p>
    <w:p>
      <w:pPr>
        <w:jc w:val="both"/>
        <w:ind w:firstLine="503"/>
        <w:spacing w:after="0" w:line="260" w:lineRule="auto"/>
        <w:tabs>
          <w:tab w:leader="none" w:pos="1011"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and other Secured Party hereby authorizes the Administrative Agent to set off, net and apply any and all amounts at any time owing to such Lender, or Secured Party under any Facility Document, or otherwise payable or distributable by the Administrative Agent to such Lender or Secured Party from any source, against any amount due to the Administrative Agent under immediately preceding clauses (a) and (b) or under the indemnification provisions of this Agreement.</w:t>
      </w:r>
    </w:p>
    <w:p>
      <w:pPr>
        <w:spacing w:after="0" w:line="102" w:lineRule="exact"/>
        <w:rPr>
          <w:rFonts w:ascii="Times New Roman" w:cs="Times New Roman" w:eastAsia="Times New Roman" w:hAnsi="Times New Roman"/>
          <w:sz w:val="14"/>
          <w:szCs w:val="14"/>
          <w:color w:val="auto"/>
        </w:rPr>
      </w:pPr>
    </w:p>
    <w:p>
      <w:pPr>
        <w:jc w:val="both"/>
        <w:ind w:firstLine="503"/>
        <w:spacing w:after="0" w:line="208" w:lineRule="auto"/>
        <w:tabs>
          <w:tab w:leader="none" w:pos="100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 Erroneous Payment (or portion thereof) is not recovered by the Administrative Agent for any reason from any Payment Recipient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6"/>
          <w:szCs w:val="16"/>
          <w:i w:val="1"/>
          <w:iCs w:val="1"/>
          <w:color w:val="auto"/>
        </w:rPr>
        <w:t>Erroneous Payment Return Deficiency</w:t>
      </w:r>
      <w:r>
        <w:rPr>
          <w:rFonts w:ascii="Times New Roman" w:cs="Times New Roman" w:eastAsia="Times New Roman" w:hAnsi="Times New Roman"/>
          <w:sz w:val="16"/>
          <w:szCs w:val="16"/>
          <w:color w:val="auto"/>
        </w:rPr>
        <w:t>”), upon the Administrative Agent’s notice to such Payment Recipient at any time, (i) such Payment Recipient, if a Lender, shall be deemed to have assigned its Advances (but not its commitments) of the relevant Class with respect to which such Erroneous Payment was made (the “</w:t>
      </w:r>
      <w:r>
        <w:rPr>
          <w:rFonts w:ascii="Times New Roman" w:cs="Times New Roman" w:eastAsia="Times New Roman" w:hAnsi="Times New Roman"/>
          <w:sz w:val="16"/>
          <w:szCs w:val="16"/>
          <w:i w:val="1"/>
          <w:iCs w:val="1"/>
          <w:color w:val="auto"/>
        </w:rPr>
        <w:t>Erroneous Payment Impacted Class</w:t>
      </w:r>
      <w:r>
        <w:rPr>
          <w:rFonts w:ascii="Times New Roman" w:cs="Times New Roman" w:eastAsia="Times New Roman" w:hAnsi="Times New Roman"/>
          <w:sz w:val="16"/>
          <w:szCs w:val="16"/>
          <w:color w:val="auto"/>
        </w:rPr>
        <w:t>”) in an amount equal to the Erroneous Payment Return Deficiency (or such lesser amount as the Administrative Agent may specify) (such assignment of the Advances (but not commitments) of the Erroneous Payment Impacted Class, the “</w:t>
      </w:r>
      <w:r>
        <w:rPr>
          <w:rFonts w:ascii="Times New Roman" w:cs="Times New Roman" w:eastAsia="Times New Roman" w:hAnsi="Times New Roman"/>
          <w:sz w:val="16"/>
          <w:szCs w:val="16"/>
          <w:i w:val="1"/>
          <w:iCs w:val="1"/>
          <w:color w:val="auto"/>
        </w:rPr>
        <w:t>Erroneous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Deficiency Assignment</w:t>
      </w:r>
      <w:r>
        <w:rPr>
          <w:rFonts w:ascii="Times New Roman" w:cs="Times New Roman" w:eastAsia="Times New Roman" w:hAnsi="Times New Roman"/>
          <w:sz w:val="16"/>
          <w:szCs w:val="16"/>
          <w:color w:val="auto"/>
        </w:rPr>
        <w:t>”) at par plus any accrued and unpaid interest (with the assignment fee to be waived by the Administrative Agent in such instance), and is hereby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(together with the Borrower) deemed to execute and deliver an Assignment and Acceptance (and such Lender shall deliver any notes evidencing such Advances to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w:t>
      </w:r>
    </w:p>
    <w:p>
      <w:pPr>
        <w:sectPr>
          <w:pgSz w:w="11900" w:h="16838" w:orient="portrait"/>
          <w:cols w:equalWidth="0" w:num="1">
            <w:col w:w="10760"/>
          </w:cols>
          <w:pgMar w:left="820" w:top="1129" w:right="319" w:bottom="1440" w:gutter="0" w:footer="0" w:header="0"/>
        </w:sectPr>
      </w:pPr>
    </w:p>
    <w:bookmarkStart w:id="302" w:name="page303"/>
    <w:bookmarkEnd w:id="302"/>
    <w:p>
      <w:pPr>
        <w:ind w:left="6"/>
        <w:spacing w:after="0"/>
        <w:rPr>
          <w:sz w:val="20"/>
          <w:szCs w:val="20"/>
          <w:color w:val="auto"/>
        </w:rPr>
      </w:pPr>
      <w:r>
        <w:rPr>
          <w:rFonts w:ascii="Times New Roman" w:cs="Times New Roman" w:eastAsia="Times New Roman" w:hAnsi="Times New Roman"/>
          <w:sz w:val="14"/>
          <w:szCs w:val="14"/>
          <w:color w:val="auto"/>
        </w:rPr>
        <w:t>excluding, for the avoidance of doubt, its obligations under the indemnification provisions of this Agreement and its applicable commitments which shall survive as to such</w:t>
      </w:r>
    </w:p>
    <w:p>
      <w:pPr>
        <w:spacing w:after="0" w:line="16" w:lineRule="exact"/>
        <w:rPr>
          <w:sz w:val="20"/>
          <w:szCs w:val="20"/>
          <w:color w:val="auto"/>
        </w:rPr>
      </w:pPr>
    </w:p>
    <w:p>
      <w:pPr>
        <w:ind w:left="6"/>
        <w:spacing w:after="0" w:line="229" w:lineRule="auto"/>
        <w:rPr>
          <w:sz w:val="20"/>
          <w:szCs w:val="20"/>
          <w:color w:val="auto"/>
        </w:rPr>
      </w:pPr>
      <w:r>
        <w:rPr>
          <w:rFonts w:ascii="Times New Roman" w:cs="Times New Roman" w:eastAsia="Times New Roman" w:hAnsi="Times New Roman"/>
          <w:sz w:val="14"/>
          <w:szCs w:val="14"/>
          <w:color w:val="auto"/>
        </w:rPr>
        <w:t>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w:t>
      </w:r>
    </w:p>
    <w:p>
      <w:pPr>
        <w:ind w:left="6"/>
        <w:spacing w:after="0" w:line="208" w:lineRule="auto"/>
        <w:rPr>
          <w:sz w:val="20"/>
          <w:szCs w:val="20"/>
          <w:color w:val="auto"/>
        </w:rPr>
      </w:pPr>
      <w:r>
        <w:rPr>
          <w:rFonts w:ascii="Times New Roman" w:cs="Times New Roman" w:eastAsia="Times New Roman" w:hAnsi="Times New Roman"/>
          <w:sz w:val="16"/>
          <w:szCs w:val="16"/>
          <w:color w:val="auto"/>
        </w:rPr>
        <w:t>proceeds of such sale, the Erroneous Payment Return Deficiency owing by the applicable Lender shall be reduced by the net proceeds of the sale of such Advances (or</w:t>
      </w:r>
    </w:p>
    <w:p>
      <w:pPr>
        <w:ind w:left="6"/>
        <w:spacing w:after="0" w:line="229" w:lineRule="auto"/>
        <w:rPr>
          <w:sz w:val="20"/>
          <w:szCs w:val="20"/>
          <w:color w:val="auto"/>
        </w:rPr>
      </w:pPr>
      <w:r>
        <w:rPr>
          <w:rFonts w:ascii="Times New Roman" w:cs="Times New Roman" w:eastAsia="Times New Roman" w:hAnsi="Times New Roman"/>
          <w:sz w:val="14"/>
          <w:szCs w:val="14"/>
          <w:color w:val="auto"/>
        </w:rPr>
        <w:t>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if any, of any Lender and such commitments</w:t>
      </w:r>
    </w:p>
    <w:p>
      <w:pPr>
        <w:ind w:left="6"/>
        <w:spacing w:after="0" w:line="237" w:lineRule="auto"/>
        <w:rPr>
          <w:sz w:val="20"/>
          <w:szCs w:val="20"/>
          <w:color w:val="auto"/>
        </w:rPr>
      </w:pPr>
      <w:r>
        <w:rPr>
          <w:rFonts w:ascii="Times New Roman" w:cs="Times New Roman" w:eastAsia="Times New Roman" w:hAnsi="Times New Roman"/>
          <w:sz w:val="14"/>
          <w:szCs w:val="14"/>
          <w:color w:val="auto"/>
        </w:rPr>
        <w:t>shall remain available in accordance with the terms of this Agreement. In addition, each party hereto agrees that, except to the extent that the Administrative Agent has sold</w:t>
      </w:r>
    </w:p>
    <w:p>
      <w:pPr>
        <w:spacing w:after="0" w:line="1" w:lineRule="exact"/>
        <w:rPr>
          <w:sz w:val="20"/>
          <w:szCs w:val="20"/>
          <w:color w:val="auto"/>
        </w:rPr>
      </w:pPr>
    </w:p>
    <w:p>
      <w:pPr>
        <w:ind w:left="6"/>
        <w:spacing w:after="0" w:line="229" w:lineRule="auto"/>
        <w:rPr>
          <w:sz w:val="20"/>
          <w:szCs w:val="20"/>
          <w:color w:val="auto"/>
        </w:rPr>
      </w:pPr>
      <w:r>
        <w:rPr>
          <w:rFonts w:ascii="Times New Roman" w:cs="Times New Roman" w:eastAsia="Times New Roman" w:hAnsi="Times New Roman"/>
          <w:sz w:val="14"/>
          <w:szCs w:val="14"/>
          <w:color w:val="auto"/>
        </w:rPr>
        <w:t>Advances (or a portion thereof) acquired pursuant to an Erroneous Payment Deficiency Assignment, and irrespective of whether the Administrative Agent may be equitably subrogated, in the event that an Erroneous Payment (or portion thereof) is not recovered from any Payment Recipient that has received such Erroneous Payment (or portion</w:t>
      </w:r>
    </w:p>
    <w:p>
      <w:pPr>
        <w:ind w:left="6"/>
        <w:spacing w:after="0" w:line="224" w:lineRule="auto"/>
        <w:rPr>
          <w:sz w:val="20"/>
          <w:szCs w:val="20"/>
          <w:color w:val="auto"/>
        </w:rPr>
      </w:pPr>
      <w:r>
        <w:rPr>
          <w:rFonts w:ascii="Times New Roman" w:cs="Times New Roman" w:eastAsia="Times New Roman" w:hAnsi="Times New Roman"/>
          <w:sz w:val="16"/>
          <w:szCs w:val="16"/>
          <w:color w:val="auto"/>
        </w:rPr>
        <w:t>thereof) the Administrative Agent shall be contractually subrogated to all the rights and interests of the applicable Lender or other Secured Party that has received such Erroneous Payment (or portion thereof) under the Facility Documents with respect to each Erroneous Payment Return Deficiency.</w:t>
      </w:r>
    </w:p>
    <w:p>
      <w:pPr>
        <w:spacing w:after="0" w:line="116" w:lineRule="exact"/>
        <w:rPr>
          <w:sz w:val="20"/>
          <w:szCs w:val="20"/>
          <w:color w:val="auto"/>
        </w:rPr>
      </w:pPr>
    </w:p>
    <w:p>
      <w:pPr>
        <w:jc w:val="both"/>
        <w:ind w:left="6" w:firstLine="503"/>
        <w:spacing w:after="0" w:line="214" w:lineRule="auto"/>
        <w:tabs>
          <w:tab w:leader="none" w:pos="1017"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agree that an Erroneous Payment shall not pay, prepay, repay, discharge or otherwise satisfy any Obligations owed by the Borrower;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11.07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not be interpreted to increase (or accelerate the due date for), or have the effect of increasing (or accelerating the due date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for the avoidance of doubt, this clause (e) (other than the first proviso hereto) shall not apply to the extent such Erroneous Payment is, and solely with respect to the amount of such Erroneous Payment that is, comprised of funds received by the Administrative Agent from the Borrower for the purpose of making a payment of such Obligations.</w:t>
      </w:r>
    </w:p>
    <w:p>
      <w:pPr>
        <w:spacing w:after="0" w:line="119" w:lineRule="exact"/>
        <w:rPr>
          <w:rFonts w:ascii="Times New Roman" w:cs="Times New Roman" w:eastAsia="Times New Roman" w:hAnsi="Times New Roman"/>
          <w:sz w:val="16"/>
          <w:szCs w:val="16"/>
          <w:color w:val="auto"/>
        </w:rPr>
      </w:pPr>
    </w:p>
    <w:p>
      <w:pPr>
        <w:jc w:val="both"/>
        <w:ind w:left="6" w:firstLine="503"/>
        <w:spacing w:after="0" w:line="221" w:lineRule="auto"/>
        <w:tabs>
          <w:tab w:leader="none" w:pos="102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28" w:lineRule="exact"/>
        <w:rPr>
          <w:rFonts w:ascii="Times New Roman" w:cs="Times New Roman" w:eastAsia="Times New Roman" w:hAnsi="Times New Roman"/>
          <w:sz w:val="16"/>
          <w:szCs w:val="16"/>
          <w:color w:val="auto"/>
        </w:rPr>
      </w:pPr>
    </w:p>
    <w:p>
      <w:pPr>
        <w:jc w:val="both"/>
        <w:ind w:left="6" w:firstLine="503"/>
        <w:spacing w:after="0" w:line="221" w:lineRule="auto"/>
        <w:tabs>
          <w:tab w:leader="none" w:pos="1015"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party’s obligations, agreements and waivers under this Section 11.07 shall survive the resignation or replacement of the Administrative Agent, any transfer of rights or obligations by, or the replacement of, a Lender, the termination of the commitments and/or the repayment, satisfaction or discharge of all Obligations (or any portion thereof) under any Facility Document.</w:t>
      </w:r>
    </w:p>
    <w:p>
      <w:pPr>
        <w:spacing w:after="0" w:line="128" w:lineRule="exact"/>
        <w:rPr>
          <w:rFonts w:ascii="Times New Roman" w:cs="Times New Roman" w:eastAsia="Times New Roman" w:hAnsi="Times New Roman"/>
          <w:sz w:val="16"/>
          <w:szCs w:val="16"/>
          <w:color w:val="auto"/>
        </w:rPr>
      </w:pPr>
    </w:p>
    <w:p>
      <w:pPr>
        <w:ind w:left="6" w:firstLine="503"/>
        <w:spacing w:after="0" w:line="235" w:lineRule="auto"/>
        <w:tabs>
          <w:tab w:leader="none" w:pos="1015"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this Section 11.07 shall not, and no Erroneous Payment shall, constitute, create, increase or otherwise alter any obligations or the Obligations of the Borrower under the Facility Documents or otherwise.</w:t>
      </w:r>
    </w:p>
    <w:p>
      <w:pPr>
        <w:spacing w:after="0" w:line="148" w:lineRule="exact"/>
        <w:rPr>
          <w:rFonts w:ascii="Times New Roman" w:cs="Times New Roman" w:eastAsia="Times New Roman" w:hAnsi="Times New Roman"/>
          <w:sz w:val="16"/>
          <w:szCs w:val="16"/>
          <w:color w:val="auto"/>
        </w:rPr>
      </w:pPr>
    </w:p>
    <w:p>
      <w:pPr>
        <w:jc w:val="both"/>
        <w:ind w:left="6" w:hanging="6"/>
        <w:spacing w:after="0" w:line="247" w:lineRule="auto"/>
        <w:tabs>
          <w:tab w:leader="none" w:pos="50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Notwithstanding anything to the contrary in this Section 11.07 or in any other Facility Document, the Borrower shall have no obligations, liabilities (including for any losses, claims, damages and expenses (including attorney’s fees)) or responsibilities for any actions, consequences or remediation (including the repayment or recovery of any amounts) contemplated by this Section 11.07 or otherwise arising out of, resulting from or in connection with any Erroneous Payment or any such actions or inactions of any Payment Recipient in respect of any Erroneous Payment (and, for the avoidance of doubt, it is understood and agreed that if the</w:t>
      </w:r>
    </w:p>
    <w:p>
      <w:pPr>
        <w:sectPr>
          <w:pgSz w:w="11900" w:h="16838" w:orient="portrait"/>
          <w:cols w:equalWidth="0" w:num="1">
            <w:col w:w="10766"/>
          </w:cols>
          <w:pgMar w:left="814" w:top="1128" w:right="319" w:bottom="1440" w:gutter="0" w:footer="0" w:header="0"/>
        </w:sectPr>
      </w:pPr>
    </w:p>
    <w:bookmarkStart w:id="303" w:name="page304"/>
    <w:bookmarkEnd w:id="303"/>
    <w:p>
      <w:pPr>
        <w:ind w:left="6"/>
        <w:spacing w:after="0" w:line="273" w:lineRule="auto"/>
        <w:rPr>
          <w:sz w:val="20"/>
          <w:szCs w:val="20"/>
          <w:color w:val="auto"/>
        </w:rPr>
      </w:pPr>
      <w:r>
        <w:rPr>
          <w:rFonts w:ascii="Times New Roman" w:cs="Times New Roman" w:eastAsia="Times New Roman" w:hAnsi="Times New Roman"/>
          <w:sz w:val="16"/>
          <w:szCs w:val="16"/>
          <w:color w:val="auto"/>
        </w:rPr>
        <w:t>Borrower has paid principal, interest or any other amounts owed pursuant to any Facility Document, nothing in 11.07 (or Section 12.04 (or any equivalent provision) in connection therewith) shall require the Borrower to pay additional amounts that are duplicative of such previously paid amounts).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Section 446.10 Appointment of Administrative Agent as Security Trustee.</w:t>
      </w:r>
    </w:p>
    <w:p>
      <w:pPr>
        <w:spacing w:after="0" w:line="147" w:lineRule="exact"/>
        <w:rPr>
          <w:sz w:val="20"/>
          <w:szCs w:val="20"/>
          <w:color w:val="auto"/>
        </w:rPr>
      </w:pPr>
    </w:p>
    <w:p>
      <w:pPr>
        <w:ind w:left="6" w:firstLine="503"/>
        <w:spacing w:after="0" w:line="235" w:lineRule="auto"/>
        <w:tabs>
          <w:tab w:leader="none" w:pos="1017"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Secured Parties (other than the Administrative Agent) shall be deemed to have irrevocably appointed the Administrative Agent to act as its security trustee in connection with the Security granted under the English Deed of Charge.</w:t>
      </w:r>
    </w:p>
    <w:p>
      <w:pPr>
        <w:spacing w:after="0" w:line="117" w:lineRule="exact"/>
        <w:rPr>
          <w:rFonts w:ascii="Times New Roman" w:cs="Times New Roman" w:eastAsia="Times New Roman" w:hAnsi="Times New Roman"/>
          <w:sz w:val="16"/>
          <w:szCs w:val="16"/>
          <w:color w:val="auto"/>
        </w:rPr>
      </w:pPr>
    </w:p>
    <w:p>
      <w:pPr>
        <w:ind w:left="6" w:firstLine="503"/>
        <w:spacing w:after="0" w:line="235" w:lineRule="auto"/>
        <w:tabs>
          <w:tab w:leader="none" w:pos="1015"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Secured Parties (other than the Administrative Agent) authorises the Administrative Agent to hold the Security granted under the English Deed of Charge in its sole name as security trustee for the Secured Parties.</w:t>
      </w:r>
    </w:p>
    <w:p>
      <w:pPr>
        <w:spacing w:after="0" w:line="117" w:lineRule="exact"/>
        <w:rPr>
          <w:rFonts w:ascii="Times New Roman" w:cs="Times New Roman" w:eastAsia="Times New Roman" w:hAnsi="Times New Roman"/>
          <w:sz w:val="16"/>
          <w:szCs w:val="16"/>
          <w:color w:val="auto"/>
        </w:rPr>
      </w:pPr>
    </w:p>
    <w:p>
      <w:pPr>
        <w:ind w:left="6" w:firstLine="503"/>
        <w:spacing w:after="0" w:line="235" w:lineRule="auto"/>
        <w:tabs>
          <w:tab w:leader="none" w:pos="1017"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Secured Parties (other than the Administrative Agent) authorises the Administrative Agent to exercise the rights specifically given to the Administrative Agent under or in connection with the English Deed of Charge together with any other incidental rights.</w:t>
      </w:r>
    </w:p>
    <w:p>
      <w:pPr>
        <w:spacing w:after="0" w:line="127" w:lineRule="exact"/>
        <w:rPr>
          <w:rFonts w:ascii="Times New Roman" w:cs="Times New Roman" w:eastAsia="Times New Roman" w:hAnsi="Times New Roman"/>
          <w:sz w:val="16"/>
          <w:szCs w:val="16"/>
          <w:color w:val="auto"/>
        </w:rPr>
      </w:pPr>
    </w:p>
    <w:p>
      <w:pPr>
        <w:ind w:left="1006" w:hanging="497"/>
        <w:spacing w:after="0"/>
        <w:tabs>
          <w:tab w:leader="none" w:pos="1006"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Secured Parties (other than the Administrative Agent) acknowledges and agrees that:</w:t>
      </w:r>
    </w:p>
    <w:p>
      <w:pPr>
        <w:spacing w:after="0" w:line="134" w:lineRule="exact"/>
        <w:rPr>
          <w:rFonts w:ascii="Times New Roman" w:cs="Times New Roman" w:eastAsia="Times New Roman" w:hAnsi="Times New Roman"/>
          <w:sz w:val="16"/>
          <w:szCs w:val="16"/>
          <w:color w:val="auto"/>
        </w:rPr>
      </w:pPr>
    </w:p>
    <w:p>
      <w:pPr>
        <w:jc w:val="both"/>
        <w:ind w:left="506" w:firstLine="513"/>
        <w:spacing w:after="0" w:line="226" w:lineRule="auto"/>
        <w:tabs>
          <w:tab w:leader="none" w:pos="1523"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has agreed to become a party to the English Deed of Charge only for the purpose of taking the benefit of the contractual provisions expressed to be given for the benefit of or to be assumed by the Administrative Agent, for the better preservation and enforcement of its rights and the rights of the Secured Parties under the English Deed of Charge and for administrative ease associated with matters where its consent is required;</w:t>
      </w:r>
    </w:p>
    <w:p>
      <w:pPr>
        <w:spacing w:after="0" w:line="116" w:lineRule="exact"/>
        <w:rPr>
          <w:rFonts w:ascii="Times New Roman" w:cs="Times New Roman" w:eastAsia="Times New Roman" w:hAnsi="Times New Roman"/>
          <w:sz w:val="16"/>
          <w:szCs w:val="16"/>
          <w:color w:val="auto"/>
        </w:rPr>
      </w:pPr>
    </w:p>
    <w:p>
      <w:pPr>
        <w:ind w:left="506" w:firstLine="513"/>
        <w:spacing w:after="0" w:line="235" w:lineRule="auto"/>
        <w:tabs>
          <w:tab w:leader="none" w:pos="1523"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no responsibility for any obligation of such Secured Party and shall not assume any liabilities or obligations under the English Deed of Charge unless such obligation or liability is expressly assumed by the Administrative Agent therein;</w:t>
      </w:r>
    </w:p>
    <w:p>
      <w:pPr>
        <w:spacing w:after="0" w:line="127"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duties and obligations of the Administrative Agent under the English Deed of Charge are governed by the English Deed of Charge; and</w:t>
      </w:r>
    </w:p>
    <w:p>
      <w:pPr>
        <w:spacing w:after="0" w:line="157" w:lineRule="exact"/>
        <w:rPr>
          <w:rFonts w:ascii="Times New Roman" w:cs="Times New Roman" w:eastAsia="Times New Roman" w:hAnsi="Times New Roman"/>
          <w:sz w:val="14"/>
          <w:szCs w:val="14"/>
          <w:color w:val="auto"/>
        </w:rPr>
      </w:pPr>
    </w:p>
    <w:p>
      <w:pPr>
        <w:jc w:val="both"/>
        <w:ind w:left="506" w:firstLine="513"/>
        <w:spacing w:after="0" w:line="226" w:lineRule="auto"/>
        <w:tabs>
          <w:tab w:leader="none" w:pos="1515"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may assume, unless it has, acting as Administrative Agent, received actual notice to the contrary, that no Event of Default has occurred and that the Borrower and the other parties to the Facility Documents are not in breach of or in default under their respective obligations under any of the Facility Documents.</w:t>
      </w:r>
    </w:p>
    <w:p>
      <w:pPr>
        <w:spacing w:after="0" w:line="116" w:lineRule="exact"/>
        <w:rPr>
          <w:rFonts w:ascii="Times New Roman" w:cs="Times New Roman" w:eastAsia="Times New Roman" w:hAnsi="Times New Roman"/>
          <w:sz w:val="16"/>
          <w:szCs w:val="16"/>
          <w:color w:val="auto"/>
        </w:rPr>
      </w:pPr>
    </w:p>
    <w:p>
      <w:pPr>
        <w:ind w:left="506" w:hanging="506"/>
        <w:spacing w:after="0" w:line="235" w:lineRule="auto"/>
        <w:tabs>
          <w:tab w:leader="none" w:pos="49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expressed or implied herein, the Administrative Agent shall not be under any fiduciary duty towards any other party, nor shall it be under any obligations other than those for which express provision is made in the Facility Documents.</w:t>
      </w:r>
    </w:p>
    <w:p>
      <w:pPr>
        <w:spacing w:after="0" w:line="126" w:lineRule="exact"/>
        <w:rPr>
          <w:sz w:val="20"/>
          <w:szCs w:val="20"/>
          <w:color w:val="auto"/>
        </w:rPr>
      </w:pPr>
    </w:p>
    <w:p>
      <w:pPr>
        <w:ind w:left="4366"/>
        <w:spacing w:after="0"/>
        <w:rPr>
          <w:sz w:val="20"/>
          <w:szCs w:val="20"/>
          <w:color w:val="auto"/>
        </w:rPr>
      </w:pPr>
      <w:r>
        <w:rPr>
          <w:rFonts w:ascii="Times New Roman" w:cs="Times New Roman" w:eastAsia="Times New Roman" w:hAnsi="Times New Roman"/>
          <w:sz w:val="16"/>
          <w:szCs w:val="16"/>
          <w:b w:val="1"/>
          <w:bCs w:val="1"/>
          <w:color w:val="auto"/>
        </w:rPr>
        <w:t>ARTICLE 447.</w:t>
      </w:r>
    </w:p>
    <w:p>
      <w:pPr>
        <w:spacing w:after="0" w:line="124" w:lineRule="exact"/>
        <w:rPr>
          <w:sz w:val="20"/>
          <w:szCs w:val="20"/>
          <w:color w:val="auto"/>
        </w:rPr>
      </w:pPr>
    </w:p>
    <w:p>
      <w:pPr>
        <w:ind w:left="4446"/>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Section 447.01 No Waiver; Modifications in Writing.</w:t>
      </w:r>
    </w:p>
    <w:p>
      <w:pPr>
        <w:spacing w:after="0" w:line="136" w:lineRule="exact"/>
        <w:rPr>
          <w:sz w:val="20"/>
          <w:szCs w:val="20"/>
          <w:color w:val="auto"/>
        </w:rPr>
      </w:pPr>
    </w:p>
    <w:p>
      <w:pPr>
        <w:ind w:left="6" w:firstLine="503"/>
        <w:spacing w:after="0" w:line="235" w:lineRule="auto"/>
        <w:tabs>
          <w:tab w:leader="none" w:pos="1017"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on the part of any Secured Party exercising any right, power or remedy hereunder shall operate as a waiver thereof, nor shall any single or partial exercise of</w:t>
      </w:r>
    </w:p>
    <w:p>
      <w:pPr>
        <w:sectPr>
          <w:pgSz w:w="11900" w:h="16838" w:orient="portrait"/>
          <w:cols w:equalWidth="0" w:num="1">
            <w:col w:w="10766"/>
          </w:cols>
          <w:pgMar w:left="814" w:top="1139" w:right="319" w:bottom="1440" w:gutter="0" w:footer="0" w:header="0"/>
        </w:sectPr>
      </w:pPr>
    </w:p>
    <w:bookmarkStart w:id="304" w:name="page305"/>
    <w:bookmarkEnd w:id="304"/>
    <w:p>
      <w:pPr>
        <w:ind w:left="520"/>
        <w:spacing w:after="0"/>
        <w:rPr>
          <w:sz w:val="20"/>
          <w:szCs w:val="20"/>
          <w:color w:val="auto"/>
        </w:rPr>
      </w:pPr>
      <w:r>
        <w:rPr>
          <w:rFonts w:ascii="Times New Roman" w:cs="Times New Roman" w:eastAsia="Times New Roman" w:hAnsi="Times New Roman"/>
          <w:sz w:val="16"/>
          <w:szCs w:val="16"/>
          <w:color w:val="auto"/>
        </w:rPr>
        <w:t>any such right, power or remedy preclude any other or further exercise thereof or the exercise of any other right, power or remedy. Any waiver of any provision of this</w:t>
      </w:r>
    </w:p>
    <w:p>
      <w:pPr>
        <w:ind w:left="520"/>
        <w:spacing w:after="0" w:line="200" w:lineRule="auto"/>
        <w:rPr>
          <w:sz w:val="20"/>
          <w:szCs w:val="20"/>
          <w:color w:val="auto"/>
        </w:rPr>
      </w:pPr>
      <w:r>
        <w:rPr>
          <w:rFonts w:ascii="Times New Roman" w:cs="Times New Roman" w:eastAsia="Times New Roman" w:hAnsi="Times New Roman"/>
          <w:sz w:val="16"/>
          <w:szCs w:val="16"/>
          <w:color w:val="auto"/>
        </w:rPr>
        <w:t>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demand in similar or other circumstances.</w:t>
      </w:r>
    </w:p>
    <w:p>
      <w:pPr>
        <w:spacing w:after="0" w:line="127" w:lineRule="exact"/>
        <w:rPr>
          <w:sz w:val="20"/>
          <w:szCs w:val="20"/>
          <w:color w:val="auto"/>
        </w:rPr>
      </w:pPr>
    </w:p>
    <w:p>
      <w:pPr>
        <w:jc w:val="both"/>
        <w:ind w:left="520" w:firstLine="503"/>
        <w:spacing w:after="0" w:line="218" w:lineRule="auto"/>
        <w:tabs>
          <w:tab w:leader="none" w:pos="152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amendment, modification, supplement or waiver of this Agreement shall be effective unless signed by the Borrower, the Administrative Agent and the Required Lenders,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any Fundamental Amendment shall require the written consent of each Lender and (ii) no such amendment, modification, supplement or waiver shall amend, modify or otherwise affect the rights, duties, immunities or liabilities of the Administrative Agent without the prior written consent of the Administrative Agent.</w:t>
      </w:r>
    </w:p>
    <w:p>
      <w:pPr>
        <w:spacing w:after="0" w:line="11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Section 447.02 Notices, Etc. </w:t>
      </w:r>
      <w:r>
        <w:rPr>
          <w:rFonts w:ascii="Times New Roman" w:cs="Times New Roman" w:eastAsia="Times New Roman" w:hAnsi="Times New Roman"/>
          <w:sz w:val="14"/>
          <w:szCs w:val="14"/>
          <w:color w:val="auto"/>
        </w:rPr>
        <w:t>Except as otherwise provided herein, all notices and other communications hereunder to any party shall be in writing and sent by certified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registered mail, return receipt requested, by overnight delivery service, with all charges prepaid, by hand delivery, or by e-mail, to such party’s address or e-mail address set forth in</w:t>
      </w:r>
    </w:p>
    <w:p>
      <w:pPr>
        <w:spacing w:after="0" w:line="229" w:lineRule="auto"/>
        <w:rPr>
          <w:sz w:val="20"/>
          <w:szCs w:val="20"/>
          <w:color w:val="auto"/>
        </w:rPr>
      </w:pPr>
      <w:r>
        <w:rPr>
          <w:rFonts w:ascii="Times New Roman" w:cs="Times New Roman" w:eastAsia="Times New Roman" w:hAnsi="Times New Roman"/>
          <w:sz w:val="14"/>
          <w:szCs w:val="14"/>
          <w:color w:val="auto"/>
        </w:rPr>
        <w:t>Schedule 3 hereto, or at such other address or e-mail address as such party may hereafter specify in a notice given in the manner required under this Section 12.02. All such notices and correspondence shall be deemed given (a) if sent by certified or registered mail, three (3) Business Days after being postmarked, (b) if sent by overnight delivery service or by</w:t>
      </w:r>
    </w:p>
    <w:p>
      <w:pPr>
        <w:spacing w:after="0" w:line="237" w:lineRule="auto"/>
        <w:rPr>
          <w:sz w:val="20"/>
          <w:szCs w:val="20"/>
          <w:color w:val="auto"/>
        </w:rPr>
      </w:pPr>
      <w:r>
        <w:rPr>
          <w:rFonts w:ascii="Times New Roman" w:cs="Times New Roman" w:eastAsia="Times New Roman" w:hAnsi="Times New Roman"/>
          <w:sz w:val="14"/>
          <w:szCs w:val="14"/>
          <w:color w:val="auto"/>
        </w:rPr>
        <w:t>hand delivery, when received at the above stated addresses or when delivery is refused and (c) if sent by electronic transmission, upon the sender’s receipt of an acknowledgement</w:t>
      </w:r>
    </w:p>
    <w:p>
      <w:pPr>
        <w:spacing w:after="0" w:line="1"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from the intended recipient (such as by the “return receipt requested” function, as available, return e-mail or other written acknowledgement). The Borrower hereby irrevocably consents and agrees to the service of any and all legal process, summons, notices and documents out of any courts in any action, suit or proceeding in connection with this</w:t>
      </w:r>
    </w:p>
    <w:p>
      <w:pPr>
        <w:spacing w:after="0" w:line="208" w:lineRule="auto"/>
        <w:rPr>
          <w:sz w:val="20"/>
          <w:szCs w:val="20"/>
          <w:color w:val="auto"/>
        </w:rPr>
      </w:pPr>
      <w:r>
        <w:rPr>
          <w:rFonts w:ascii="Times New Roman" w:cs="Times New Roman" w:eastAsia="Times New Roman" w:hAnsi="Times New Roman"/>
          <w:sz w:val="16"/>
          <w:szCs w:val="16"/>
          <w:color w:val="auto"/>
        </w:rPr>
        <w:t>Agreement by serving a copy thereof upon the Borrower or by mailing copies thereof by regular or overnight mail, postage prepaid, to the Borrower at its address specified in</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Schedule 3. For the avoidance of doubt, with respect to any notices required to be delivered and sent to the Administrative Agent, the Administrative Agent shall distribute a copy thereof to the Lenders.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447.03 Taxes.</w:t>
      </w:r>
    </w:p>
    <w:p>
      <w:pPr>
        <w:spacing w:after="0" w:line="134" w:lineRule="exact"/>
        <w:rPr>
          <w:sz w:val="20"/>
          <w:szCs w:val="20"/>
          <w:color w:val="auto"/>
        </w:rPr>
      </w:pPr>
    </w:p>
    <w:p>
      <w:pPr>
        <w:ind w:left="1520" w:hanging="497"/>
        <w:spacing w:after="0"/>
        <w:tabs>
          <w:tab w:leader="none" w:pos="15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Defined Terms</w:t>
      </w:r>
      <w:r>
        <w:rPr>
          <w:rFonts w:ascii="Times New Roman" w:cs="Times New Roman" w:eastAsia="Times New Roman" w:hAnsi="Times New Roman"/>
          <w:sz w:val="16"/>
          <w:szCs w:val="16"/>
          <w:color w:val="auto"/>
        </w:rPr>
        <w:t>. For purposes of this Section, the term “Applicable Law” includes FATCA.</w:t>
      </w:r>
    </w:p>
    <w:p>
      <w:pPr>
        <w:spacing w:after="0" w:line="144" w:lineRule="exact"/>
        <w:rPr>
          <w:rFonts w:ascii="Times New Roman" w:cs="Times New Roman" w:eastAsia="Times New Roman" w:hAnsi="Times New Roman"/>
          <w:sz w:val="16"/>
          <w:szCs w:val="16"/>
          <w:color w:val="auto"/>
        </w:rPr>
      </w:pPr>
    </w:p>
    <w:p>
      <w:pPr>
        <w:jc w:val="both"/>
        <w:ind w:left="520" w:firstLine="503"/>
        <w:spacing w:after="0" w:line="212" w:lineRule="auto"/>
        <w:tabs>
          <w:tab w:leader="none" w:pos="152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Payments Free of Taxes</w:t>
      </w:r>
      <w:r>
        <w:rPr>
          <w:rFonts w:ascii="Times New Roman" w:cs="Times New Roman" w:eastAsia="Times New Roman" w:hAnsi="Times New Roman"/>
          <w:sz w:val="16"/>
          <w:szCs w:val="16"/>
          <w:color w:val="auto"/>
        </w:rPr>
        <w:t>. Any and all payments by or on account of any obligation of the Borrower under any Facility Document shall be made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24" w:lineRule="exact"/>
        <w:rPr>
          <w:rFonts w:ascii="Times New Roman" w:cs="Times New Roman" w:eastAsia="Times New Roman" w:hAnsi="Times New Roman"/>
          <w:sz w:val="16"/>
          <w:szCs w:val="16"/>
          <w:color w:val="auto"/>
        </w:rPr>
      </w:pPr>
    </w:p>
    <w:p>
      <w:pPr>
        <w:ind w:left="520" w:firstLine="503"/>
        <w:spacing w:after="0" w:line="230" w:lineRule="auto"/>
        <w:tabs>
          <w:tab w:leader="none" w:pos="1531"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Payment of Other Taxes by Borrower</w:t>
      </w:r>
      <w:r>
        <w:rPr>
          <w:rFonts w:ascii="Times New Roman" w:cs="Times New Roman" w:eastAsia="Times New Roman" w:hAnsi="Times New Roman"/>
          <w:sz w:val="16"/>
          <w:szCs w:val="16"/>
          <w:color w:val="auto"/>
        </w:rPr>
        <w:t>. The Borrower shall timely pay to the relevant Governmental Authority in accordance with Applicable Law, or 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 of the Administrative Agent timely reimburse it for the payment of, any Other Taxes.</w:t>
      </w:r>
    </w:p>
    <w:p>
      <w:pPr>
        <w:spacing w:after="0" w:line="124" w:lineRule="exact"/>
        <w:rPr>
          <w:rFonts w:ascii="Times New Roman" w:cs="Times New Roman" w:eastAsia="Times New Roman" w:hAnsi="Times New Roman"/>
          <w:sz w:val="16"/>
          <w:szCs w:val="16"/>
          <w:color w:val="auto"/>
        </w:rPr>
      </w:pPr>
    </w:p>
    <w:p>
      <w:pPr>
        <w:jc w:val="both"/>
        <w:ind w:left="520" w:firstLine="503"/>
        <w:spacing w:after="0" w:line="222" w:lineRule="auto"/>
        <w:tabs>
          <w:tab w:leader="none" w:pos="152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Indemnification by Borrower</w:t>
      </w:r>
      <w:r>
        <w:rPr>
          <w:rFonts w:ascii="Times New Roman" w:cs="Times New Roman" w:eastAsia="Times New Roman" w:hAnsi="Times New Roman"/>
          <w:sz w:val="16"/>
          <w:szCs w:val="16"/>
          <w:color w:val="auto"/>
        </w:rPr>
        <w:t>. The Borrower shall indemnify each Recipient, within 10 days after demand therefor, for the full amount of any Indemnified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other than</w:t>
      </w:r>
    </w:p>
    <w:p>
      <w:pPr>
        <w:sectPr>
          <w:pgSz w:w="11900" w:h="16838" w:orient="portrait"/>
          <w:cols w:equalWidth="0" w:num="1">
            <w:col w:w="11280"/>
          </w:cols>
          <w:pgMar w:left="300" w:top="1121" w:right="3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color w:val="auto"/>
        </w:rPr>
        <w:t>penalties, interest or other expenses imposed as a result of the gross negligence or willful misconduct of a Lender, whether or not such Indemnified Taxes were correctly or</w:t>
      </w:r>
    </w:p>
    <w:p>
      <w:pPr>
        <w:spacing w:after="0" w:line="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5" w:lineRule="exact"/>
        <w:rPr>
          <w:sz w:val="20"/>
          <w:szCs w:val="20"/>
          <w:color w:val="auto"/>
        </w:rPr>
      </w:pPr>
    </w:p>
    <w:p>
      <w:pPr>
        <w:jc w:val="both"/>
        <w:ind w:firstLine="503"/>
        <w:spacing w:after="0" w:line="209" w:lineRule="auto"/>
        <w:tabs>
          <w:tab w:leader="none" w:pos="1011"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Indemnification by the Lenders</w:t>
      </w:r>
      <w:r>
        <w:rPr>
          <w:rFonts w:ascii="Times New Roman" w:cs="Times New Roman" w:eastAsia="Times New Roman" w:hAnsi="Times New Roman"/>
          <w:sz w:val="16"/>
          <w:szCs w:val="16"/>
          <w:color w:val="auto"/>
        </w:rPr>
        <w:t>. Each Lender shall severally indemnify the Administrative Agent, within 10 days after demand therefor, for (i)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13.02(i) relating to the maintenance of a Participant Register and (iii) any Excluded Taxes attributable to such Lender, in each case, that are payable or paid by the Administrative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Facility Document or otherwise payable by the Administrative Agent to the Lender from any other source against any amount due to the Administrative Agent under this paragraph (e).</w:t>
      </w:r>
    </w:p>
    <w:p>
      <w:pPr>
        <w:spacing w:after="0" w:line="128" w:lineRule="exact"/>
        <w:rPr>
          <w:rFonts w:ascii="Times New Roman" w:cs="Times New Roman" w:eastAsia="Times New Roman" w:hAnsi="Times New Roman"/>
          <w:sz w:val="16"/>
          <w:szCs w:val="16"/>
          <w:color w:val="auto"/>
        </w:rPr>
      </w:pPr>
    </w:p>
    <w:p>
      <w:pPr>
        <w:jc w:val="both"/>
        <w:ind w:firstLine="503"/>
        <w:spacing w:after="0" w:line="222" w:lineRule="auto"/>
        <w:tabs>
          <w:tab w:leader="none" w:pos="101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Evidence of Payments</w:t>
      </w:r>
      <w:r>
        <w:rPr>
          <w:rFonts w:ascii="Times New Roman" w:cs="Times New Roman" w:eastAsia="Times New Roman" w:hAnsi="Times New Roman"/>
          <w:sz w:val="16"/>
          <w:szCs w:val="16"/>
          <w:color w:val="auto"/>
        </w:rPr>
        <w:t>. As soon as practicable after any payment of Taxes by the Borrower to a Governmental Authority pursuant to this Section,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26" w:lineRule="exact"/>
        <w:rPr>
          <w:rFonts w:ascii="Times New Roman" w:cs="Times New Roman" w:eastAsia="Times New Roman" w:hAnsi="Times New Roman"/>
          <w:sz w:val="16"/>
          <w:szCs w:val="16"/>
          <w:color w:val="auto"/>
        </w:rPr>
      </w:pPr>
    </w:p>
    <w:p>
      <w:pPr>
        <w:ind w:left="1000" w:hanging="497"/>
        <w:spacing w:after="0"/>
        <w:tabs>
          <w:tab w:leader="none" w:pos="100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Status of Lenders</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500" w:firstLine="513"/>
        <w:spacing w:after="0"/>
        <w:tabs>
          <w:tab w:leader="none" w:pos="1517"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that is entitled to an exemption from or reduction of withholding Tax with respect to payments made under any Facility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(g)(ii)(A), (ii)(B), (ii)(D) and (ii)(C)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71" w:lineRule="exact"/>
        <w:rPr>
          <w:rFonts w:ascii="Times New Roman" w:cs="Times New Roman" w:eastAsia="Times New Roman" w:hAnsi="Times New Roman"/>
          <w:sz w:val="14"/>
          <w:szCs w:val="14"/>
          <w:color w:val="auto"/>
        </w:rPr>
      </w:pPr>
    </w:p>
    <w:p>
      <w:pPr>
        <w:ind w:left="1520" w:hanging="507"/>
        <w:spacing w:after="0"/>
        <w:tabs>
          <w:tab w:leader="none" w:pos="1520"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the foregoing, in the event that the Borrower is a U.S. Borrower,</w:t>
      </w:r>
    </w:p>
    <w:p>
      <w:pPr>
        <w:spacing w:after="0" w:line="145" w:lineRule="exact"/>
        <w:rPr>
          <w:sz w:val="20"/>
          <w:szCs w:val="20"/>
          <w:color w:val="auto"/>
        </w:rPr>
      </w:pPr>
    </w:p>
    <w:p>
      <w:pPr>
        <w:jc w:val="both"/>
        <w:ind w:left="500" w:firstLine="513"/>
        <w:spacing w:after="0" w:line="221" w:lineRule="auto"/>
        <w:tabs>
          <w:tab w:leader="none" w:pos="151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ectPr>
          <w:pgSz w:w="11900" w:h="16838" w:orient="portrait"/>
          <w:cols w:equalWidth="0" w:num="1">
            <w:col w:w="10760"/>
          </w:cols>
          <w:pgMar w:left="820" w:top="1129" w:right="319" w:bottom="1440" w:gutter="0" w:footer="0" w:header="0"/>
        </w:sectPr>
      </w:pPr>
    </w:p>
    <w:bookmarkStart w:id="306" w:name="page307"/>
    <w:bookmarkEnd w:id="306"/>
    <w:p>
      <w:pPr>
        <w:jc w:val="both"/>
        <w:ind w:left="-120" w:firstLine="513"/>
        <w:spacing w:after="0" w:line="221" w:lineRule="auto"/>
        <w:tabs>
          <w:tab w:leader="none" w:pos="894"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28" w:lineRule="exact"/>
        <w:rPr>
          <w:rFonts w:ascii="Times New Roman" w:cs="Times New Roman" w:eastAsia="Times New Roman" w:hAnsi="Times New Roman"/>
          <w:sz w:val="16"/>
          <w:szCs w:val="16"/>
          <w:color w:val="auto"/>
        </w:rPr>
      </w:pPr>
    </w:p>
    <w:p>
      <w:pPr>
        <w:jc w:val="both"/>
        <w:ind w:left="400" w:firstLine="502"/>
        <w:spacing w:after="0" w:line="216" w:lineRule="auto"/>
        <w:tabs>
          <w:tab w:leader="none" w:pos="1409"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an income tax treaty to which the United States is a party (x) with respect to payments of interest under any Facility Document, executed copies of IRS Form W-8BEN or IRS Form W-8BEN-E establishing an exemption from, or reduction of, U.S. federal withholding Tax pursuant to the “interest” article of such tax treaty and (y) with respect to any other applicable payments under any Facility Document, IRS Form W-8BEN or IRS Form W-8BEN-E establishing an exemption from, or reduction of, U.S. federal withholding Tax pursuant to the “business profits” or “other income” article of such tax treaty;</w:t>
      </w:r>
    </w:p>
    <w:p>
      <w:pPr>
        <w:spacing w:after="0" w:line="116" w:lineRule="exact"/>
        <w:rPr>
          <w:rFonts w:ascii="Times New Roman" w:cs="Times New Roman" w:eastAsia="Times New Roman" w:hAnsi="Times New Roman"/>
          <w:sz w:val="16"/>
          <w:szCs w:val="16"/>
          <w:color w:val="auto"/>
        </w:rPr>
      </w:pPr>
    </w:p>
    <w:p>
      <w:pPr>
        <w:ind w:left="1400" w:hanging="498"/>
        <w:spacing w:after="0"/>
        <w:tabs>
          <w:tab w:leader="none" w:pos="1400"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executed copies of IRS Form W-8ECI;</w:t>
      </w:r>
    </w:p>
    <w:p>
      <w:pPr>
        <w:spacing w:after="0" w:line="144" w:lineRule="exact"/>
        <w:rPr>
          <w:rFonts w:ascii="Times New Roman" w:cs="Times New Roman" w:eastAsia="Times New Roman" w:hAnsi="Times New Roman"/>
          <w:sz w:val="16"/>
          <w:szCs w:val="16"/>
          <w:color w:val="auto"/>
        </w:rPr>
      </w:pPr>
    </w:p>
    <w:p>
      <w:pPr>
        <w:jc w:val="both"/>
        <w:ind w:left="400" w:firstLine="502"/>
        <w:spacing w:after="0" w:line="216" w:lineRule="auto"/>
        <w:tabs>
          <w:tab w:leader="none" w:pos="1409"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6"/>
          <w:szCs w:val="16"/>
          <w:i w:val="1"/>
          <w:iCs w:val="1"/>
          <w:color w:val="auto"/>
        </w:rPr>
        <w:t>U.S. Tax Compliance Certificate</w:t>
      </w:r>
      <w:r>
        <w:rPr>
          <w:rFonts w:ascii="Times New Roman" w:cs="Times New Roman" w:eastAsia="Times New Roman" w:hAnsi="Times New Roman"/>
          <w:sz w:val="16"/>
          <w:szCs w:val="16"/>
          <w:color w:val="auto"/>
        </w:rPr>
        <w:t>”) and (y) executed copies of IRS Form W-8BEN or IRS Form W-8BEN-E; or</w:t>
      </w:r>
    </w:p>
    <w:p>
      <w:pPr>
        <w:spacing w:after="0" w:line="116" w:lineRule="exact"/>
        <w:rPr>
          <w:rFonts w:ascii="Times New Roman" w:cs="Times New Roman" w:eastAsia="Times New Roman" w:hAnsi="Times New Roman"/>
          <w:sz w:val="16"/>
          <w:szCs w:val="16"/>
          <w:color w:val="auto"/>
        </w:rPr>
      </w:pPr>
    </w:p>
    <w:p>
      <w:pPr>
        <w:jc w:val="both"/>
        <w:ind w:left="400" w:firstLine="502"/>
        <w:spacing w:after="0" w:line="216" w:lineRule="auto"/>
        <w:tabs>
          <w:tab w:leader="none" w:pos="1409"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a Foreign Lender is not the beneficial owner, executed copies of IRS Form W-8IMY, accompanied by IRS Form W-8ECI, IRS Form W-8BEN, IRS Form W-8BEN-E,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16" w:lineRule="exact"/>
        <w:rPr>
          <w:rFonts w:ascii="Times New Roman" w:cs="Times New Roman" w:eastAsia="Times New Roman" w:hAnsi="Times New Roman"/>
          <w:sz w:val="16"/>
          <w:szCs w:val="16"/>
          <w:color w:val="auto"/>
        </w:rPr>
      </w:pPr>
    </w:p>
    <w:p>
      <w:pPr>
        <w:jc w:val="both"/>
        <w:ind w:left="-120" w:firstLine="513"/>
        <w:spacing w:after="0" w:line="216" w:lineRule="auto"/>
        <w:tabs>
          <w:tab w:leader="none" w:pos="894"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26" w:lineRule="exact"/>
        <w:rPr>
          <w:rFonts w:ascii="Times New Roman" w:cs="Times New Roman" w:eastAsia="Times New Roman" w:hAnsi="Times New Roman"/>
          <w:sz w:val="16"/>
          <w:szCs w:val="16"/>
          <w:color w:val="auto"/>
        </w:rPr>
      </w:pPr>
    </w:p>
    <w:p>
      <w:pPr>
        <w:jc w:val="both"/>
        <w:ind w:left="-120" w:firstLine="513"/>
        <w:spacing w:after="0" w:line="218" w:lineRule="auto"/>
        <w:tabs>
          <w:tab w:leader="none" w:pos="89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payment made to a Lender under any Facility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w:t>
      </w:r>
    </w:p>
    <w:p>
      <w:pPr>
        <w:sectPr>
          <w:pgSz w:w="11900" w:h="16838" w:orient="portrait"/>
          <w:cols w:equalWidth="0" w:num="1">
            <w:col w:w="10140"/>
          </w:cols>
          <w:pgMar w:left="1440" w:top="1128" w:right="319" w:bottom="1440" w:gutter="0" w:footer="0" w:header="0"/>
        </w:sectPr>
      </w:pPr>
    </w:p>
    <w:bookmarkStart w:id="307" w:name="page308"/>
    <w:bookmarkEnd w:id="307"/>
    <w:p>
      <w:pPr>
        <w:ind w:left="500"/>
        <w:spacing w:after="0"/>
        <w:rPr>
          <w:sz w:val="20"/>
          <w:szCs w:val="20"/>
          <w:color w:val="auto"/>
        </w:rPr>
      </w:pPr>
      <w:r>
        <w:rPr>
          <w:rFonts w:ascii="Times New Roman" w:cs="Times New Roman" w:eastAsia="Times New Roman" w:hAnsi="Times New Roman"/>
          <w:sz w:val="14"/>
          <w:szCs w:val="14"/>
          <w:color w:val="auto"/>
        </w:rPr>
        <w:t>Section 1471(b)(3)(C)(i) of the Code) and such additional documentation reasonably requested by the Borrower or the Administrative Agent as may be necessary</w:t>
      </w:r>
    </w:p>
    <w:p>
      <w:pPr>
        <w:spacing w:after="0" w:line="16" w:lineRule="exact"/>
        <w:rPr>
          <w:sz w:val="20"/>
          <w:szCs w:val="20"/>
          <w:color w:val="auto"/>
        </w:rPr>
      </w:pPr>
    </w:p>
    <w:p>
      <w:pPr>
        <w:ind w:left="500"/>
        <w:spacing w:after="0" w:line="229" w:lineRule="auto"/>
        <w:rPr>
          <w:sz w:val="20"/>
          <w:szCs w:val="20"/>
          <w:color w:val="auto"/>
        </w:rPr>
      </w:pPr>
      <w:r>
        <w:rPr>
          <w:rFonts w:ascii="Times New Roman" w:cs="Times New Roman" w:eastAsia="Times New Roman" w:hAnsi="Times New Roman"/>
          <w:sz w:val="14"/>
          <w:szCs w:val="14"/>
          <w:color w:val="auto"/>
        </w:rPr>
        <w:t>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w:t>
      </w:r>
    </w:p>
    <w:p>
      <w:pPr>
        <w:ind w:left="500"/>
        <w:spacing w:after="0"/>
        <w:rPr>
          <w:sz w:val="20"/>
          <w:szCs w:val="20"/>
          <w:color w:val="auto"/>
        </w:rPr>
      </w:pPr>
      <w:r>
        <w:rPr>
          <w:rFonts w:ascii="Times New Roman" w:cs="Times New Roman" w:eastAsia="Times New Roman" w:hAnsi="Times New Roman"/>
          <w:sz w:val="16"/>
          <w:szCs w:val="16"/>
          <w:color w:val="auto"/>
        </w:rPr>
        <w:t>include any amendments made to FATCA after the date of this Agreement; and</w:t>
      </w:r>
    </w:p>
    <w:p>
      <w:pPr>
        <w:spacing w:after="0" w:line="127" w:lineRule="exact"/>
        <w:rPr>
          <w:sz w:val="20"/>
          <w:szCs w:val="20"/>
          <w:color w:val="auto"/>
        </w:rPr>
      </w:pPr>
    </w:p>
    <w:p>
      <w:pPr>
        <w:jc w:val="both"/>
        <w:ind w:left="500" w:firstLine="513"/>
        <w:spacing w:after="0" w:line="239" w:lineRule="auto"/>
        <w:tabs>
          <w:tab w:leader="none" w:pos="1515"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Administrative Agent is a U.S. Person, it shall deliver to the Borrower on or prior to the date on which it becomes the Administrative Agent under this Agreement two duly completed copies of IRS Form W-9. If the Administrative Agent is not a U.S. Person, it shall provide to the Borrower on or prior to the date on which it becomes the Administrative Agent under this Agreement (and from time to time thereafter upon the reasonable request of the Borrower) (A) two executed copies of Form W-8ECI with respect to any amounts payable to the Administrative Agent for its own account, and (B) two executed copies of Form W-8IMY with respect to any amounts payable to the Administrative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the Borrower to be treated as a U.S. Person with respect to such payments (and Borrower and Administrative Agent agree to so treat the Administrative Agent as a U.S. Person with respect to such payments as contemplated by Treasury Regulation Section 1.1441-1(b)(2)(iv)).</w:t>
      </w:r>
    </w:p>
    <w:p>
      <w:pPr>
        <w:spacing w:after="0" w:line="160" w:lineRule="exact"/>
        <w:rPr>
          <w:rFonts w:ascii="Times New Roman" w:cs="Times New Roman" w:eastAsia="Times New Roman" w:hAnsi="Times New Roman"/>
          <w:sz w:val="14"/>
          <w:szCs w:val="14"/>
          <w:color w:val="auto"/>
        </w:rPr>
      </w:pPr>
    </w:p>
    <w:p>
      <w:pPr>
        <w:ind w:left="500" w:firstLine="3"/>
        <w:spacing w:after="0" w:line="244" w:lineRule="auto"/>
        <w:tabs>
          <w:tab w:leader="none" w:pos="1004"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Each Lender and the Administrative Agent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3" w:lineRule="exact"/>
        <w:rPr>
          <w:sz w:val="20"/>
          <w:szCs w:val="20"/>
          <w:color w:val="auto"/>
        </w:rPr>
      </w:pPr>
    </w:p>
    <w:p>
      <w:pPr>
        <w:jc w:val="both"/>
        <w:ind w:firstLine="503"/>
        <w:spacing w:after="0"/>
        <w:tabs>
          <w:tab w:leader="none" w:pos="1009"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Treatment of Certain Refunds</w:t>
      </w:r>
      <w:r>
        <w:rPr>
          <w:rFonts w:ascii="Times New Roman" w:cs="Times New Roman" w:eastAsia="Times New Roman" w:hAnsi="Times New Roman"/>
          <w:sz w:val="14"/>
          <w:szCs w:val="14"/>
          <w:color w:val="auto"/>
        </w:rPr>
        <w:t>. If any party determines, in its sole discretion exercised in good faith, that it has received a refund of any Taxes as to which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68" w:lineRule="exact"/>
        <w:rPr>
          <w:rFonts w:ascii="Times New Roman" w:cs="Times New Roman" w:eastAsia="Times New Roman" w:hAnsi="Times New Roman"/>
          <w:sz w:val="14"/>
          <w:szCs w:val="14"/>
          <w:color w:val="auto"/>
        </w:rPr>
      </w:pPr>
    </w:p>
    <w:p>
      <w:pPr>
        <w:jc w:val="both"/>
        <w:ind w:firstLine="503"/>
        <w:spacing w:after="0" w:line="227" w:lineRule="auto"/>
        <w:tabs>
          <w:tab w:leader="none" w:pos="1017"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Survival</w:t>
      </w:r>
      <w:r>
        <w:rPr>
          <w:rFonts w:ascii="Times New Roman" w:cs="Times New Roman" w:eastAsia="Times New Roman" w:hAnsi="Times New Roman"/>
          <w:sz w:val="16"/>
          <w:szCs w:val="16"/>
          <w:color w:val="auto"/>
        </w:rPr>
        <w:t>. Each party’s obligations under this Section shall survive the resignation or replacement of the Administrative Agent or any assignment of rights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or the replacement of, a Lender, the termination of the Class A Committed Amount or the Class B Committed Amount and the repayment, satisfaction or discharge of all obligations under any Facility Document.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447.04 Costs and Expenses; Indemnification.</w:t>
      </w:r>
    </w:p>
    <w:p>
      <w:pPr>
        <w:sectPr>
          <w:pgSz w:w="11900" w:h="16838" w:orient="portrait"/>
          <w:cols w:equalWidth="0" w:num="1">
            <w:col w:w="10760"/>
          </w:cols>
          <w:pgMar w:left="820" w:top="1128" w:right="319" w:bottom="1440" w:gutter="0" w:footer="0" w:header="0"/>
        </w:sectPr>
      </w:pPr>
    </w:p>
    <w:bookmarkStart w:id="308" w:name="page309"/>
    <w:bookmarkEnd w:id="308"/>
    <w:p>
      <w:pPr>
        <w:jc w:val="both"/>
        <w:ind w:left="-503" w:firstLine="503"/>
        <w:spacing w:after="0"/>
        <w:tabs>
          <w:tab w:leader="none" w:pos="50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to pay all reasonable and documented out-of-pocket costs and expenses of the Administrative Agent and the Class B Lenders (X) in connection with the initial preparation, review, negotiation, execution and delivery of this Agreement and the other Facility Documents on the Closing Date, including the reasonable and documented out-of-pocket fees of (i) a single outside counsel for the Administrative Agent and the Class A Lenders up to an aggregate amount not to exceed $250,000, UCC filing fees and all other related fees and expenses in connection therewith and (ii) a single outside counsel for the Class B Lenders up to an aggregate amount not to exceed $125,000, (Y) in connection with any additional Facility Documents and any modification or amendment of this Agreement or any other Facility Document; and (Z) in connection with the initial preparation, review, negotiation, execution and delivery of the English Deed of Charge. Further, the Borrower shall pay (A) all reasonable and documented out-of-pocket costs and expenses (including all reasonable and documented out-of-pocket fees, expenses and disbursements of a single legal counsel for each of the Administrative Agent and a single legal counsel for the Class B Lenders), and any auditors, accountants, consultants or appraisers or other professional advisors and agents engaged by the Administrative Agent or the Class B Lenders and incurred by the Administrative Agent or the Class B Lenders in the preparation, execution, delivery, filing, recordation, administration, performance or enforcement of this Agreement or any other Facility Document or any consent, amendment, waiver or other modification relating thereto, including the fees and disbursements of a single outside counsel for the Administrative Agent and a single outside counsel for the Class B Lenders in connection with any amendment or modification of this Agreement or any other Facility Document pursuant to Section 13.03(d), (B) all reasonable and documented out-of-pocket costs and expenses of creating, perfecting, releasing or enforcing the Administrative Agent’s security interests in the Collateral, including filing and recording fees, expenses and Other Taxes, search fees, and title insurance premiums, and (C) after the occurrence of any Event of Default, all reasonable and documented out-of-pocket costs and expenses incurred by each of the Administrative Agent and each of the other Secured Parties in connection with the preservation, collection, foreclosure or enforcement of the Collateral subject to the Facility Documents or any interest, right, power or remedy of the Administrative Agent and the other Secured Parties or in connection with the collection or enforcement of any of the Obligations or the proof, protection, administration or resolution of any claim based upon the Obligations in any insolvency proceeding, including all reasonable and documented out-of-pocket fees and disbursements of attorneys, accountants, auditors, consultants, appraisers and other professionals engaged by the Administrative Agent and/or the other Secured Parties. The undertaking in this Section shall survive repayment of the Obligations, any foreclosure under, or modification, release, discharge or termination of, any or all of the Related Documents, this Agreement and the other Facility Documents and the resignation or replacement of the Administrative Agent. Without prejudice to its rights hereunder, the expenses and the compensation for the services of the Administrative Agent are intended to constitute expenses of administration under any applicable bankruptcy law.</w:t>
      </w:r>
    </w:p>
    <w:p>
      <w:pPr>
        <w:spacing w:after="0" w:line="398" w:lineRule="exact"/>
        <w:rPr>
          <w:rFonts w:ascii="Times New Roman" w:cs="Times New Roman" w:eastAsia="Times New Roman" w:hAnsi="Times New Roman"/>
          <w:sz w:val="14"/>
          <w:szCs w:val="14"/>
          <w:color w:val="auto"/>
        </w:rPr>
      </w:pPr>
    </w:p>
    <w:p>
      <w:pPr>
        <w:jc w:val="both"/>
        <w:ind w:left="-503" w:firstLine="503"/>
        <w:spacing w:after="0" w:line="246" w:lineRule="auto"/>
        <w:tabs>
          <w:tab w:leader="none" w:pos="511"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Borrower agrees to indemnify and hold harmless each Secured Party and each of their Affiliates and the respective officers, directors, employees, agents, managers of, and any Person controlling any of, the foregoing (each, an “</w:t>
      </w:r>
      <w:r>
        <w:rPr>
          <w:rFonts w:ascii="Times New Roman" w:cs="Times New Roman" w:eastAsia="Times New Roman" w:hAnsi="Times New Roman"/>
          <w:sz w:val="16"/>
          <w:szCs w:val="16"/>
          <w:i w:val="1"/>
          <w:iCs w:val="1"/>
          <w:color w:val="auto"/>
        </w:rPr>
        <w:t>Indemnified Party</w:t>
      </w:r>
      <w:r>
        <w:rPr>
          <w:rFonts w:ascii="Times New Roman" w:cs="Times New Roman" w:eastAsia="Times New Roman" w:hAnsi="Times New Roman"/>
          <w:sz w:val="16"/>
          <w:szCs w:val="16"/>
          <w:color w:val="auto"/>
        </w:rPr>
        <w:t>”) from and against any and all claims, damages, losses, liabilities, obligations, expenses, penalties, actions, suits, judgments and disbursements of any kind or nature whatsoever (including the reasonable and documented out-of-pocket fees and disbursements of counsel) that may be incurred by or asserted or awarded against any Indemnified Party, in each case arising out of or in connection with or by reason of the execution, delivery, enforcement (including the enforcement of this indemnity provision),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Times New Roman" w:cs="Times New Roman" w:eastAsia="Times New Roman" w:hAnsi="Times New Roman"/>
          <w:sz w:val="16"/>
          <w:szCs w:val="16"/>
          <w:i w:val="1"/>
          <w:iCs w:val="1"/>
          <w:color w:val="auto"/>
        </w:rPr>
        <w:t>Liabilities</w:t>
      </w:r>
      <w:r>
        <w:rPr>
          <w:rFonts w:ascii="Times New Roman" w:cs="Times New Roman" w:eastAsia="Times New Roman" w:hAnsi="Times New Roman"/>
          <w:sz w:val="16"/>
          <w:szCs w:val="16"/>
          <w:color w:val="auto"/>
        </w:rPr>
        <w:t>”), including any such Liability that is incurred or arises out of or in connection with, or by reason of any one or more of the following:</w:t>
      </w:r>
    </w:p>
    <w:p>
      <w:pPr>
        <w:sectPr>
          <w:pgSz w:w="11900" w:h="16838" w:orient="portrait"/>
          <w:cols w:equalWidth="0" w:num="1">
            <w:col w:w="10257"/>
          </w:cols>
          <w:pgMar w:left="1323" w:top="1129" w:right="319" w:bottom="1440" w:gutter="0" w:footer="0" w:header="0"/>
        </w:sectPr>
      </w:pPr>
    </w:p>
    <w:bookmarkStart w:id="309" w:name="page310"/>
    <w:bookmarkEnd w:id="309"/>
    <w:p>
      <w:pPr>
        <w:ind w:left="506" w:firstLine="513"/>
        <w:spacing w:after="0" w:line="235" w:lineRule="auto"/>
        <w:tabs>
          <w:tab w:leader="none" w:pos="1523"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for a defense of any investigation, litigation or proceeding arising out of, related to or in connection with this Agreement, any other Facility Document, any Related Document or any of the transactions contemplated hereby or thereby;</w:t>
      </w:r>
    </w:p>
    <w:p>
      <w:pPr>
        <w:spacing w:after="0" w:line="117"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any covenant by the Borrower, Navan, any Account Bank, the Seller, any Servicer or any Backup Servicer contained in any Facility</w:t>
      </w:r>
    </w:p>
    <w:p>
      <w:pPr>
        <w:spacing w:after="0" w:line="16" w:lineRule="exact"/>
        <w:rPr>
          <w:rFonts w:ascii="Times New Roman" w:cs="Times New Roman" w:eastAsia="Times New Roman" w:hAnsi="Times New Roman"/>
          <w:sz w:val="14"/>
          <w:szCs w:val="14"/>
          <w:color w:val="auto"/>
        </w:rPr>
      </w:pPr>
    </w:p>
    <w:p>
      <w:pPr>
        <w:ind w:left="50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Document;</w:t>
      </w:r>
    </w:p>
    <w:p>
      <w:pPr>
        <w:spacing w:after="0" w:line="126" w:lineRule="exact"/>
        <w:rPr>
          <w:rFonts w:ascii="Times New Roman" w:cs="Times New Roman" w:eastAsia="Times New Roman" w:hAnsi="Times New Roman"/>
          <w:sz w:val="14"/>
          <w:szCs w:val="14"/>
          <w:color w:val="auto"/>
        </w:rPr>
      </w:pPr>
    </w:p>
    <w:p>
      <w:pPr>
        <w:ind w:left="506" w:firstLine="513"/>
        <w:spacing w:after="0" w:line="229" w:lineRule="auto"/>
        <w:tabs>
          <w:tab w:leader="none" w:pos="1524"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or deemed made by the Borrower, Navan, any Account Bank, the Seller, any Backup Servicer or any Servicer contained in any Facility Document or in any certificate, statement or report delivered in connection therewith is false or misleading;</w:t>
      </w:r>
    </w:p>
    <w:p>
      <w:pPr>
        <w:spacing w:after="0" w:line="126" w:lineRule="exact"/>
        <w:rPr>
          <w:rFonts w:ascii="Times New Roman" w:cs="Times New Roman" w:eastAsia="Times New Roman" w:hAnsi="Times New Roman"/>
          <w:sz w:val="16"/>
          <w:szCs w:val="16"/>
          <w:color w:val="auto"/>
        </w:rPr>
      </w:pPr>
    </w:p>
    <w:p>
      <w:pPr>
        <w:ind w:left="506" w:firstLine="513"/>
        <w:spacing w:after="0" w:line="235" w:lineRule="auto"/>
        <w:tabs>
          <w:tab w:leader="none" w:pos="1515"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the Borrower, Navan, any Account Bank, the Seller, any Servicer or any Backup Servicer to comply with any Applicable Law or contractual obligation binding upon it;</w:t>
      </w:r>
    </w:p>
    <w:p>
      <w:pPr>
        <w:spacing w:after="0" w:line="117" w:lineRule="exact"/>
        <w:rPr>
          <w:rFonts w:ascii="Times New Roman" w:cs="Times New Roman" w:eastAsia="Times New Roman" w:hAnsi="Times New Roman"/>
          <w:sz w:val="16"/>
          <w:szCs w:val="16"/>
          <w:color w:val="auto"/>
        </w:rPr>
      </w:pPr>
    </w:p>
    <w:p>
      <w:pPr>
        <w:ind w:left="506" w:firstLine="513"/>
        <w:spacing w:after="0" w:line="235" w:lineRule="auto"/>
        <w:tabs>
          <w:tab w:leader="none" w:pos="1515"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vest, or delay in vesting, in the Administrative Agent (for the benefit of the Secured Parties) a perfected first priority security interest in all of the Collateral free and clear of all Liens;</w:t>
      </w:r>
    </w:p>
    <w:p>
      <w:pPr>
        <w:spacing w:after="0" w:line="127" w:lineRule="exact"/>
        <w:rPr>
          <w:rFonts w:ascii="Times New Roman" w:cs="Times New Roman" w:eastAsia="Times New Roman" w:hAnsi="Times New Roman"/>
          <w:sz w:val="16"/>
          <w:szCs w:val="16"/>
          <w:color w:val="auto"/>
        </w:rPr>
      </w:pPr>
    </w:p>
    <w:p>
      <w:pPr>
        <w:ind w:left="506" w:firstLine="513"/>
        <w:spacing w:after="0" w:line="229" w:lineRule="auto"/>
        <w:tabs>
          <w:tab w:leader="none" w:pos="1515"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or omission, not expressly authorized by the Facility Documents, by the Borrower or any Affiliate of the Borrower which has the effect of reducing or impairing the Collateral or the rights of the Administrative Agent or the Secured Parties with respect thereto;</w:t>
      </w:r>
    </w:p>
    <w:p>
      <w:pPr>
        <w:spacing w:after="0" w:line="126" w:lineRule="exact"/>
        <w:rPr>
          <w:rFonts w:ascii="Times New Roman" w:cs="Times New Roman" w:eastAsia="Times New Roman" w:hAnsi="Times New Roman"/>
          <w:sz w:val="16"/>
          <w:szCs w:val="16"/>
          <w:color w:val="auto"/>
        </w:rPr>
      </w:pPr>
    </w:p>
    <w:p>
      <w:pPr>
        <w:ind w:left="506" w:firstLine="513"/>
        <w:spacing w:after="0" w:line="235" w:lineRule="auto"/>
        <w:tabs>
          <w:tab w:leader="none" w:pos="1516"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w:t>
      </w:r>
    </w:p>
    <w:p>
      <w:pPr>
        <w:spacing w:after="0" w:line="117" w:lineRule="exact"/>
        <w:rPr>
          <w:rFonts w:ascii="Times New Roman" w:cs="Times New Roman" w:eastAsia="Times New Roman" w:hAnsi="Times New Roman"/>
          <w:sz w:val="16"/>
          <w:szCs w:val="16"/>
          <w:color w:val="auto"/>
        </w:rPr>
      </w:pPr>
    </w:p>
    <w:p>
      <w:pPr>
        <w:jc w:val="both"/>
        <w:ind w:left="506" w:firstLine="513"/>
        <w:spacing w:after="0" w:line="226" w:lineRule="auto"/>
        <w:tabs>
          <w:tab w:leader="none" w:pos="1517"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dispute, claim, offset or defense (other than the discharge in bankruptcy of an Obligor) of an Obligor to the payment with respect to any Collateral (including a defense based on any Receivable (or the Related Documents evidencing such Eligible Receivable) not being a legal, valid and binding obligation of such Obligor enforceable against it in accordance with its terms), or any other claim resulting from any related property;</w:t>
      </w:r>
    </w:p>
    <w:p>
      <w:pPr>
        <w:spacing w:after="0" w:line="116"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commingling of Collections on the Collateral at any time with other funds;</w:t>
      </w:r>
    </w:p>
    <w:p>
      <w:pPr>
        <w:spacing w:after="0" w:line="144" w:lineRule="exact"/>
        <w:rPr>
          <w:rFonts w:ascii="Times New Roman" w:cs="Times New Roman" w:eastAsia="Times New Roman" w:hAnsi="Times New Roman"/>
          <w:sz w:val="16"/>
          <w:szCs w:val="16"/>
          <w:color w:val="auto"/>
        </w:rPr>
      </w:pPr>
    </w:p>
    <w:p>
      <w:pPr>
        <w:jc w:val="both"/>
        <w:ind w:left="506" w:firstLine="513"/>
        <w:spacing w:after="0" w:line="221" w:lineRule="auto"/>
        <w:tabs>
          <w:tab w:leader="none" w:pos="1515"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the Borrower to give reasonably equivalent value to any Seller, in consideration for the transfer by such Seller to the Borrower of any item of Collateral or any attempt by any Person to void or otherwise avoid any such transfer under any statutory provision or common law or equitable action, including any provision of the Bankruptcy Code; or</w:t>
      </w:r>
    </w:p>
    <w:p>
      <w:pPr>
        <w:spacing w:after="0" w:line="128"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Unmatured Event of Default or Event of Default;</w:t>
      </w:r>
    </w:p>
    <w:p>
      <w:pPr>
        <w:spacing w:after="0" w:line="164" w:lineRule="exact"/>
        <w:rPr>
          <w:rFonts w:ascii="Times New Roman" w:cs="Times New Roman" w:eastAsia="Times New Roman" w:hAnsi="Times New Roman"/>
          <w:sz w:val="16"/>
          <w:szCs w:val="16"/>
          <w:color w:val="auto"/>
        </w:rPr>
      </w:pPr>
    </w:p>
    <w:p>
      <w:pPr>
        <w:jc w:val="both"/>
        <w:ind w:left="6" w:hanging="6"/>
        <w:spacing w:after="0" w:line="269" w:lineRule="auto"/>
        <w:tabs>
          <w:tab w:leader="none" w:pos="51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Borrower shall not be liable (A) for any Liability or losses arising due to the deterioration in the credit quality or market value of the Eligible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Receivables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from such Indemnified Party’s fraud, bad faith, gross negligence or willful misconduct;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however that in no event will such Indemnified Party have any liability for any special,</w:t>
      </w:r>
    </w:p>
    <w:p>
      <w:pPr>
        <w:sectPr>
          <w:pgSz w:w="11900" w:h="16838" w:orient="portrait"/>
          <w:cols w:equalWidth="0" w:num="1">
            <w:col w:w="10766"/>
          </w:cols>
          <w:pgMar w:left="814" w:top="1128" w:right="319" w:bottom="1440" w:gutter="0" w:footer="0" w:header="0"/>
        </w:sectPr>
      </w:pPr>
    </w:p>
    <w:bookmarkStart w:id="310" w:name="page311"/>
    <w:bookmarkEnd w:id="310"/>
    <w:p>
      <w:pPr>
        <w:jc w:val="both"/>
        <w:ind w:left="520"/>
        <w:spacing w:after="0" w:line="254" w:lineRule="auto"/>
        <w:rPr>
          <w:sz w:val="20"/>
          <w:szCs w:val="20"/>
          <w:color w:val="auto"/>
        </w:rPr>
      </w:pPr>
      <w:r>
        <w:rPr>
          <w:rFonts w:ascii="Times New Roman" w:cs="Times New Roman" w:eastAsia="Times New Roman" w:hAnsi="Times New Roman"/>
          <w:sz w:val="16"/>
          <w:szCs w:val="16"/>
          <w:color w:val="auto"/>
        </w:rPr>
        <w:t xml:space="preserve">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further, that this section shall not apply to Taxes other than any Taxes that represent losses, claims, damages, etc. arising from any non-Tax claim.</w:t>
      </w:r>
    </w:p>
    <w:p>
      <w:pPr>
        <w:spacing w:after="0" w:line="169" w:lineRule="exact"/>
        <w:rPr>
          <w:sz w:val="20"/>
          <w:szCs w:val="20"/>
          <w:color w:val="auto"/>
        </w:rPr>
      </w:pPr>
    </w:p>
    <w:p>
      <w:pPr>
        <w:ind w:left="1540" w:hanging="517"/>
        <w:spacing w:after="0"/>
        <w:tabs>
          <w:tab w:leader="none" w:pos="154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amounts due under this Section 12.04 shall be payable not later than three (3) Business Days after demand therefor.</w:t>
      </w:r>
    </w:p>
    <w:p>
      <w:pPr>
        <w:spacing w:after="0" w:line="14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Section 447.05 Execution in Counterparts. </w:t>
      </w:r>
      <w:r>
        <w:rPr>
          <w:rFonts w:ascii="Times New Roman" w:cs="Times New Roman" w:eastAsia="Times New Roman" w:hAnsi="Times New Roman"/>
          <w:sz w:val="14"/>
          <w:szCs w:val="14"/>
          <w:color w:val="auto"/>
        </w:rPr>
        <w:t>This Agreement may be executed in any number of counterparts and by different parties hereto on separate counterparts, each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counterparts, when so executed and delivered, shall be deemed to be an original and all of which counterparts, taken together, shall constitute but one and the same</w:t>
      </w:r>
    </w:p>
    <w:p>
      <w:pPr>
        <w:jc w:val="both"/>
        <w:spacing w:after="0" w:line="229" w:lineRule="auto"/>
        <w:rPr>
          <w:sz w:val="20"/>
          <w:szCs w:val="20"/>
          <w:color w:val="auto"/>
        </w:rPr>
      </w:pPr>
      <w:r>
        <w:rPr>
          <w:rFonts w:ascii="Times New Roman" w:cs="Times New Roman" w:eastAsia="Times New Roman" w:hAnsi="Times New Roman"/>
          <w:sz w:val="14"/>
          <w:szCs w:val="14"/>
          <w:color w:val="auto"/>
        </w:rPr>
        <w:t>Agreement. Delivery of an executed signature page of this Agreement by facsimile or other electronic transmission shall be effective as delivery of a manually executed counterpart hereof. The parties hereto agree that “execution,” “signed,” “signature,” and words of like import in this Agreement, shall be deemed to include electronic signatures, authentication,</w:t>
      </w:r>
    </w:p>
    <w:p>
      <w:pPr>
        <w:spacing w:after="0" w:line="237" w:lineRule="auto"/>
        <w:rPr>
          <w:sz w:val="20"/>
          <w:szCs w:val="20"/>
          <w:color w:val="auto"/>
        </w:rPr>
      </w:pPr>
      <w:r>
        <w:rPr>
          <w:rFonts w:ascii="Times New Roman" w:cs="Times New Roman" w:eastAsia="Times New Roman" w:hAnsi="Times New Roman"/>
          <w:sz w:val="14"/>
          <w:szCs w:val="14"/>
          <w:color w:val="auto"/>
        </w:rPr>
        <w:t>or the keeping of records in electronic form, each of which shall be of the same legal effect, validity or enforceability as a manually executed signature or the use of a paper-based</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record keeping system, as the case may be, to the extent and as provided for in any Applicable Law, including the Electronic Signatures in Global and National Commerce Act, the Uniform Electronic Transactions Act as in effect in any state, the New York Electronic Signatures and Records Act (N.Y. State Tech. §§ 301-309), the Illinois Electronic Commerce</w:t>
      </w:r>
    </w:p>
    <w:p>
      <w:pPr>
        <w:spacing w:after="0"/>
        <w:rPr>
          <w:sz w:val="20"/>
          <w:szCs w:val="20"/>
          <w:color w:val="auto"/>
        </w:rPr>
      </w:pPr>
      <w:r>
        <w:rPr>
          <w:rFonts w:ascii="Times New Roman" w:cs="Times New Roman" w:eastAsia="Times New Roman" w:hAnsi="Times New Roman"/>
          <w:sz w:val="16"/>
          <w:szCs w:val="16"/>
          <w:color w:val="auto"/>
        </w:rPr>
        <w:t>Security Act (5 ILCS 175/1-101 et seq.), or the Uniform Commercial Code, and the parties hereto hereby waive any objection to the contrary.</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447.06 Assignability. </w:t>
      </w:r>
      <w:r>
        <w:rPr>
          <w:rFonts w:ascii="Times New Roman" w:cs="Times New Roman" w:eastAsia="Times New Roman" w:hAnsi="Times New Roman"/>
          <w:sz w:val="14"/>
          <w:szCs w:val="14"/>
          <w:color w:val="auto"/>
        </w:rPr>
        <w:t>The Borrower may not assign its rights or obligations hereunder or any interest herein without the prior written consent of the Lenders.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Lenders may assign their rights, interests or obligations under this Agreement as permitted under Section 13.02. This Agreement and all of the provisions hereof shall be binding</w:t>
      </w:r>
    </w:p>
    <w:p>
      <w:pPr>
        <w:spacing w:after="0"/>
        <w:rPr>
          <w:sz w:val="20"/>
          <w:szCs w:val="20"/>
          <w:color w:val="auto"/>
        </w:rPr>
      </w:pPr>
      <w:r>
        <w:rPr>
          <w:rFonts w:ascii="Times New Roman" w:cs="Times New Roman" w:eastAsia="Times New Roman" w:hAnsi="Times New Roman"/>
          <w:sz w:val="16"/>
          <w:szCs w:val="16"/>
          <w:color w:val="auto"/>
        </w:rPr>
        <w:t>upon and inure to the benefit of the parties and their respective successors and permitted assigns (including by operation of law).</w:t>
      </w:r>
    </w:p>
    <w:p>
      <w:pPr>
        <w:spacing w:after="0" w:line="125"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i w:val="1"/>
          <w:iCs w:val="1"/>
          <w:color w:val="auto"/>
        </w:rPr>
        <w:t xml:space="preserve">Section 447.07 Governing Law. </w:t>
      </w:r>
      <w:r>
        <w:rPr>
          <w:rFonts w:ascii="Times New Roman" w:cs="Times New Roman" w:eastAsia="Times New Roman" w:hAnsi="Times New Roman"/>
          <w:sz w:val="16"/>
          <w:szCs w:val="16"/>
          <w:color w:val="auto"/>
        </w:rPr>
        <w:t>THIS AGREEMENT AND THE RIGHTS AND OBLIGATIONS OF THE PARTIES UNDER THIS AGREEMENT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GOVERNED BY AND CONSTRUED IN ACCORDANCE WITH THE LAWS OF THE STATE OF NEW YORK, WITHOUT GIVING EFFECT TO THE CONFLICT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LAWS PRINCIPLES THEREOF (EXCEPT FOR SECTION 5-1401 OF THE NEW YORK GENERAL OBLIGATIONS LAW).</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447.08 Severability of Provisions. </w:t>
      </w:r>
      <w:r>
        <w:rPr>
          <w:rFonts w:ascii="Times New Roman" w:cs="Times New Roman" w:eastAsia="Times New Roman" w:hAnsi="Times New Roman"/>
          <w:sz w:val="14"/>
          <w:szCs w:val="14"/>
          <w:color w:val="auto"/>
        </w:rPr>
        <w:t>Any provision of this Agreement which is prohibited or unenforceable in any jurisdiction shall, as to such jurisdiction,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ineffective to the extent of such prohibition or unenforceability without invalidating the remaining provisions hereof or affecting the validity or enforceability of such provision in</w:t>
      </w:r>
    </w:p>
    <w:p>
      <w:pPr>
        <w:spacing w:after="0"/>
        <w:rPr>
          <w:sz w:val="20"/>
          <w:szCs w:val="20"/>
          <w:color w:val="auto"/>
        </w:rPr>
      </w:pPr>
      <w:r>
        <w:rPr>
          <w:rFonts w:ascii="Times New Roman" w:cs="Times New Roman" w:eastAsia="Times New Roman" w:hAnsi="Times New Roman"/>
          <w:sz w:val="16"/>
          <w:szCs w:val="16"/>
          <w:color w:val="auto"/>
        </w:rPr>
        <w:t>any other jurisdiction.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447.09 Confidentiality.</w:t>
      </w:r>
    </w:p>
    <w:p>
      <w:pPr>
        <w:spacing w:after="0" w:line="134" w:lineRule="exact"/>
        <w:rPr>
          <w:sz w:val="20"/>
          <w:szCs w:val="20"/>
          <w:color w:val="auto"/>
        </w:rPr>
      </w:pPr>
    </w:p>
    <w:p>
      <w:pPr>
        <w:jc w:val="both"/>
        <w:ind w:left="520" w:firstLine="503"/>
        <w:spacing w:after="0" w:line="211" w:lineRule="auto"/>
        <w:tabs>
          <w:tab w:leader="none" w:pos="153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Secured Party agrees to keep all Borrower Information confidential;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and to its and their Related Parties, or (y) to any of their respective Affiliates, employees, directors, investors, agents, representatives, consultants, attorneys, accountants and other professional advisors (collectively, the “</w:t>
      </w:r>
      <w:r>
        <w:rPr>
          <w:rFonts w:ascii="Times New Roman" w:cs="Times New Roman" w:eastAsia="Times New Roman" w:hAnsi="Times New Roman"/>
          <w:sz w:val="16"/>
          <w:szCs w:val="16"/>
          <w:i w:val="1"/>
          <w:iCs w:val="1"/>
          <w:color w:val="auto"/>
        </w:rPr>
        <w:t>Secured Party Representatives</w:t>
      </w:r>
      <w:r>
        <w:rPr>
          <w:rFonts w:ascii="Times New Roman" w:cs="Times New Roman" w:eastAsia="Times New Roman" w:hAnsi="Times New Roman"/>
          <w:sz w:val="16"/>
          <w:szCs w:val="16"/>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any actual or bone fide prospective permitted assignees and Participants in any of the Secured Parties’ interests under or in connection with this Agreement, (ii) to any prospective agent or co agent of the Administrative Agent (iii) as reasonably required by any direct or indirect contractual counterparties or professional advisors thereto, to any swap</w:t>
      </w:r>
    </w:p>
    <w:p>
      <w:pPr>
        <w:sectPr>
          <w:pgSz w:w="11900" w:h="16838" w:orient="portrait"/>
          <w:cols w:equalWidth="0" w:num="1">
            <w:col w:w="11280"/>
          </w:cols>
          <w:pgMar w:left="300" w:top="1139" w:right="3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color w:val="auto"/>
        </w:rPr>
        <w:t>or derivative transaction relating to the Borrower and the Obligations, and (iv) to any provider of credit protection to a Lender or any provider of a hedge for the benefit of a</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Lender, (c) to any Governmental Authority purporting to have jurisdiction over any Secured Party or any of its Affiliates or any Secured Party Representative and to its and their Related Parties, (d) in response to any order of any court or other Governmental Authority or as may otherwise be required or requested to be disclosed pursuant to any</w:t>
      </w:r>
    </w:p>
    <w:p>
      <w:pPr>
        <w:spacing w:after="0" w:line="237" w:lineRule="auto"/>
        <w:rPr>
          <w:sz w:val="20"/>
          <w:szCs w:val="20"/>
          <w:color w:val="auto"/>
        </w:rPr>
      </w:pPr>
      <w:r>
        <w:rPr>
          <w:rFonts w:ascii="Times New Roman" w:cs="Times New Roman" w:eastAsia="Times New Roman" w:hAnsi="Times New Roman"/>
          <w:sz w:val="14"/>
          <w:szCs w:val="14"/>
          <w:color w:val="auto"/>
        </w:rPr>
        <w:t>Applicable Law, (e) that is a matter of general public knowledge or that has heretofore been made available to the public by any Person other than any Secured Party or any</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Secured Party Representative in violation hereof, (f) any rating agency or a nationally recognized statistical rating organization in connection with Rule 17g 5 promulgated by the SEC, (g) in connection with the exercise of any remedy hereunder or under any other Facility Document and (h) to the Seller, the Servicer, the Backup Servicer, the</w:t>
      </w:r>
    </w:p>
    <w:p>
      <w:pPr>
        <w:spacing w:after="0" w:line="237" w:lineRule="auto"/>
        <w:rPr>
          <w:sz w:val="20"/>
          <w:szCs w:val="20"/>
          <w:color w:val="auto"/>
        </w:rPr>
      </w:pPr>
      <w:r>
        <w:rPr>
          <w:rFonts w:ascii="Times New Roman" w:cs="Times New Roman" w:eastAsia="Times New Roman" w:hAnsi="Times New Roman"/>
          <w:sz w:val="14"/>
          <w:szCs w:val="14"/>
          <w:color w:val="auto"/>
        </w:rPr>
        <w:t>Dollar Account Bank and the English Account Bank in connection with the administration of this credit facility or the enforcement of the Facility Documents. In addition,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16" w:lineRule="exact"/>
        <w:rPr>
          <w:sz w:val="20"/>
          <w:szCs w:val="20"/>
          <w:color w:val="auto"/>
        </w:rPr>
      </w:pPr>
    </w:p>
    <w:p>
      <w:pPr>
        <w:jc w:val="both"/>
        <w:ind w:firstLine="503"/>
        <w:spacing w:after="0" w:line="221" w:lineRule="auto"/>
        <w:tabs>
          <w:tab w:leader="none" w:pos="10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Borrower and Navan agrees that it shall not (and shall not allow any of its Affiliates to) disclose to any Person or entity the specific pricing, advance rate or concentration limit information provided by any Lender and Affiliates of any Lender or the amount or terms of any fees payable to any Lender or any Affiliate of any Lender in connection with the facility (collectively, the “</w:t>
      </w:r>
      <w:r>
        <w:rPr>
          <w:rFonts w:ascii="Times New Roman" w:cs="Times New Roman" w:eastAsia="Times New Roman" w:hAnsi="Times New Roman"/>
          <w:sz w:val="16"/>
          <w:szCs w:val="16"/>
          <w:u w:val="single" w:color="auto"/>
          <w:color w:val="auto"/>
        </w:rPr>
        <w:t>Product Information</w:t>
      </w:r>
      <w:r>
        <w:rPr>
          <w:rFonts w:ascii="Times New Roman" w:cs="Times New Roman" w:eastAsia="Times New Roman" w:hAnsi="Times New Roman"/>
          <w:sz w:val="16"/>
          <w:szCs w:val="16"/>
          <w:color w:val="auto"/>
        </w:rPr>
        <w:t>”), except:</w:t>
      </w:r>
    </w:p>
    <w:p>
      <w:pPr>
        <w:spacing w:after="0" w:line="128"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its and its Affiliates’ Related Parties, accountants, legal counsel, agents and service providers;</w:t>
      </w:r>
    </w:p>
    <w:p>
      <w:pPr>
        <w:spacing w:after="0" w:line="144" w:lineRule="exact"/>
        <w:rPr>
          <w:rFonts w:ascii="Times New Roman" w:cs="Times New Roman" w:eastAsia="Times New Roman" w:hAnsi="Times New Roman"/>
          <w:sz w:val="16"/>
          <w:szCs w:val="16"/>
          <w:color w:val="auto"/>
        </w:rPr>
      </w:pPr>
    </w:p>
    <w:p>
      <w:pPr>
        <w:ind w:left="500" w:firstLine="513"/>
        <w:spacing w:after="0" w:line="229" w:lineRule="auto"/>
        <w:tabs>
          <w:tab w:leader="none" w:pos="1517"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any Navan or any Affiliate or their counsel thereof reasonably deems necessary in order to comply with any requirement of Applicable Law or any Governmental Authority;</w:t>
      </w:r>
    </w:p>
    <w:p>
      <w:pPr>
        <w:spacing w:after="0" w:line="126"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its and its Affiliates’ regulators;</w:t>
      </w:r>
    </w:p>
    <w:p>
      <w:pPr>
        <w:spacing w:after="0" w:line="144"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Administrative Agent;</w:t>
      </w:r>
    </w:p>
    <w:p>
      <w:pPr>
        <w:spacing w:after="0" w:line="134"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potential and existing equity investors, lenders under Funded Indebtedness of Navan or partners in Navan or any of its Affiliates;</w:t>
      </w:r>
    </w:p>
    <w:p>
      <w:pPr>
        <w:spacing w:after="0" w:line="144"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prior written consent of such Lender;</w:t>
      </w:r>
    </w:p>
    <w:p>
      <w:pPr>
        <w:spacing w:after="0" w:line="134" w:lineRule="exact"/>
        <w:rPr>
          <w:rFonts w:ascii="Times New Roman" w:cs="Times New Roman" w:eastAsia="Times New Roman" w:hAnsi="Times New Roman"/>
          <w:sz w:val="16"/>
          <w:szCs w:val="16"/>
          <w:color w:val="auto"/>
        </w:rPr>
      </w:pPr>
    </w:p>
    <w:p>
      <w:pPr>
        <w:ind w:left="1520" w:hanging="507"/>
        <w:spacing w:after="0"/>
        <w:tabs>
          <w:tab w:leader="none" w:pos="1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financial statements in accordance with GAAP;</w:t>
      </w:r>
    </w:p>
    <w:p>
      <w:pPr>
        <w:spacing w:after="0" w:line="144" w:lineRule="exact"/>
        <w:rPr>
          <w:rFonts w:ascii="Times New Roman" w:cs="Times New Roman" w:eastAsia="Times New Roman" w:hAnsi="Times New Roman"/>
          <w:sz w:val="16"/>
          <w:szCs w:val="16"/>
          <w:color w:val="auto"/>
        </w:rPr>
      </w:pPr>
    </w:p>
    <w:p>
      <w:pPr>
        <w:ind w:left="500" w:firstLine="513"/>
        <w:spacing w:after="0" w:line="235" w:lineRule="auto"/>
        <w:tabs>
          <w:tab w:leader="none" w:pos="1511"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such Product Information is a matter of general public knowledge or has heretofore been made available to the public by any Person other than Borrower, Navan or any of its Affiliates in violation hereof; or</w:t>
      </w:r>
    </w:p>
    <w:p>
      <w:pPr>
        <w:spacing w:after="0" w:line="117" w:lineRule="exact"/>
        <w:rPr>
          <w:rFonts w:ascii="Times New Roman" w:cs="Times New Roman" w:eastAsia="Times New Roman" w:hAnsi="Times New Roman"/>
          <w:sz w:val="16"/>
          <w:szCs w:val="16"/>
          <w:color w:val="auto"/>
        </w:rPr>
      </w:pPr>
    </w:p>
    <w:p>
      <w:pPr>
        <w:ind w:left="500" w:firstLine="513"/>
        <w:spacing w:after="0" w:line="235" w:lineRule="auto"/>
        <w:tabs>
          <w:tab w:leader="none" w:pos="151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required by Applicable Law, in connection with any litigation or other adversary proceeding involving parties hereto which such litigation or adversary proceeding involves claims related to the rights or duties of such parties under this Agreement or the other Facility Documents.</w:t>
      </w:r>
    </w:p>
    <w:p>
      <w:pPr>
        <w:spacing w:after="0" w:line="127" w:lineRule="exact"/>
        <w:rPr>
          <w:rFonts w:ascii="Times New Roman" w:cs="Times New Roman" w:eastAsia="Times New Roman" w:hAnsi="Times New Roman"/>
          <w:sz w:val="16"/>
          <w:szCs w:val="16"/>
          <w:color w:val="auto"/>
        </w:rPr>
      </w:pPr>
    </w:p>
    <w:p>
      <w:pPr>
        <w:ind w:firstLine="503"/>
        <w:spacing w:after="0" w:line="283" w:lineRule="auto"/>
        <w:tabs>
          <w:tab w:leader="none" w:pos="1011"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Product Information</w:t>
      </w:r>
      <w:r>
        <w:rPr>
          <w:rFonts w:ascii="Times New Roman" w:cs="Times New Roman" w:eastAsia="Times New Roman" w:hAnsi="Times New Roman"/>
          <w:sz w:val="14"/>
          <w:szCs w:val="14"/>
          <w:color w:val="auto"/>
        </w:rPr>
        <w:t>” shall not include information that is a matter of general public knowledge or has heretofore been or is hereafter published in any source generally available to the public other than as a result of a disclosure by any Person required to keep such information confidential as provided in this Section 12.09.</w:t>
      </w:r>
    </w:p>
    <w:p>
      <w:pPr>
        <w:sectPr>
          <w:pgSz w:w="11900" w:h="16838" w:orient="portrait"/>
          <w:cols w:equalWidth="0" w:num="1">
            <w:col w:w="10760"/>
          </w:cols>
          <w:pgMar w:left="820" w:top="1128" w:right="319" w:bottom="1440" w:gutter="0" w:footer="0" w:header="0"/>
        </w:sectPr>
      </w:pPr>
    </w:p>
    <w:bookmarkStart w:id="312" w:name="page313"/>
    <w:bookmarkEnd w:id="312"/>
    <w:p>
      <w:pPr>
        <w:jc w:val="both"/>
        <w:ind w:left="520" w:firstLine="503"/>
        <w:spacing w:after="0" w:line="218" w:lineRule="auto"/>
        <w:tabs>
          <w:tab w:leader="none" w:pos="152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hereto agrees not to use the name of each other party hereto in any press release or marketing materials without the prior written consent of such other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apply to any documents that any party reasonably determines are required by Applicable Law, rule or regulation to include such other party’s name and to be filed with the SEC or any other Governmental Authority so long as the disclosing party has, to the extent reasonably practicable, given such other party the opportunity to review the form and content of such proposed filing in advance.</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447.10 Merger. </w:t>
      </w:r>
      <w:r>
        <w:rPr>
          <w:rFonts w:ascii="Times New Roman" w:cs="Times New Roman" w:eastAsia="Times New Roman" w:hAnsi="Times New Roman"/>
          <w:sz w:val="14"/>
          <w:szCs w:val="14"/>
          <w:color w:val="auto"/>
        </w:rPr>
        <w:t>This Agreement and the other Facility Documents executed by the Administrative Agent or the Lenders taken as a whole incorporate the entire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between the parties thereto concerning the subject matter thereof and such Facility Documents supersede any prior agreements among the parties relating to the subject</w:t>
      </w:r>
    </w:p>
    <w:p>
      <w:pPr>
        <w:spacing w:after="0"/>
        <w:rPr>
          <w:sz w:val="20"/>
          <w:szCs w:val="20"/>
          <w:color w:val="auto"/>
        </w:rPr>
      </w:pPr>
      <w:r>
        <w:rPr>
          <w:rFonts w:ascii="Times New Roman" w:cs="Times New Roman" w:eastAsia="Times New Roman" w:hAnsi="Times New Roman"/>
          <w:sz w:val="16"/>
          <w:szCs w:val="16"/>
          <w:color w:val="auto"/>
        </w:rPr>
        <w:t>matter thereof.</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447.11 Survival. </w:t>
      </w:r>
      <w:r>
        <w:rPr>
          <w:rFonts w:ascii="Times New Roman" w:cs="Times New Roman" w:eastAsia="Times New Roman" w:hAnsi="Times New Roman"/>
          <w:sz w:val="14"/>
          <w:szCs w:val="14"/>
          <w:color w:val="auto"/>
        </w:rPr>
        <w:t>All representations and warranties made hereunder, in the other Facility Documents and in any certificate delivered pursuant hereto or thereto or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connection herewith or therewith shall survive the execution and delivery of this Agreement and the making of the Advances hereunder. This Agreement shall create and constitute</w:t>
      </w:r>
    </w:p>
    <w:p>
      <w:pPr>
        <w:spacing w:after="0" w:line="208" w:lineRule="auto"/>
        <w:rPr>
          <w:sz w:val="20"/>
          <w:szCs w:val="20"/>
          <w:color w:val="auto"/>
        </w:rPr>
      </w:pPr>
      <w:r>
        <w:rPr>
          <w:rFonts w:ascii="Times New Roman" w:cs="Times New Roman" w:eastAsia="Times New Roman" w:hAnsi="Times New Roman"/>
          <w:sz w:val="16"/>
          <w:szCs w:val="16"/>
          <w:color w:val="auto"/>
        </w:rPr>
        <w:t>the continuing obligations of the parties hereto in accordance with its terms, and shall remain in full force and effect, until the date that all Obligations (other than unmatured</w:t>
      </w:r>
    </w:p>
    <w:p>
      <w:pPr>
        <w:spacing w:after="0" w:line="229" w:lineRule="auto"/>
        <w:rPr>
          <w:sz w:val="20"/>
          <w:szCs w:val="20"/>
          <w:color w:val="auto"/>
        </w:rPr>
      </w:pPr>
      <w:r>
        <w:rPr>
          <w:rFonts w:ascii="Times New Roman" w:cs="Times New Roman" w:eastAsia="Times New Roman" w:hAnsi="Times New Roman"/>
          <w:sz w:val="14"/>
          <w:szCs w:val="14"/>
          <w:color w:val="auto"/>
        </w:rPr>
        <w:t>indemnification Obligations) have been paid in full and satisfied and each of the Class A Committed Amount and the Class B Committed Amount has been terminated. The agreements in Sections 2.09, 2.10, 2.13, 7.06(b), 12.02, 12.03, 12.04, 12.07, 12.08, 12.12, 12.13, 12.14, 12.16, 12.18, 12.19 and 12.23, the final sentence of Section 7.02, and this</w:t>
      </w:r>
    </w:p>
    <w:p>
      <w:pPr>
        <w:spacing w:after="0"/>
        <w:rPr>
          <w:sz w:val="20"/>
          <w:szCs w:val="20"/>
          <w:color w:val="auto"/>
        </w:rPr>
      </w:pPr>
      <w:r>
        <w:rPr>
          <w:rFonts w:ascii="Times New Roman" w:cs="Times New Roman" w:eastAsia="Times New Roman" w:hAnsi="Times New Roman"/>
          <w:sz w:val="16"/>
          <w:szCs w:val="16"/>
          <w:color w:val="auto"/>
        </w:rPr>
        <w:t>Section 12.11 shall survive the termination of this Agreement in whole or in part and the payment in full of the principal of and interest on the Advances.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Section 447.12 Submission to Jurisdiction; Waivers; Etc. </w:t>
      </w:r>
      <w:r>
        <w:rPr>
          <w:rFonts w:ascii="Times New Roman" w:cs="Times New Roman" w:eastAsia="Times New Roman" w:hAnsi="Times New Roman"/>
          <w:sz w:val="16"/>
          <w:szCs w:val="16"/>
          <w:color w:val="auto"/>
        </w:rPr>
        <w:t>Each party hereto hereby irrevocably and unconditionally:</w:t>
      </w:r>
    </w:p>
    <w:p>
      <w:pPr>
        <w:spacing w:after="0" w:line="136" w:lineRule="exact"/>
        <w:rPr>
          <w:sz w:val="20"/>
          <w:szCs w:val="20"/>
          <w:color w:val="auto"/>
        </w:rPr>
      </w:pPr>
    </w:p>
    <w:p>
      <w:pPr>
        <w:jc w:val="both"/>
        <w:ind w:left="520" w:firstLine="503"/>
        <w:spacing w:after="0" w:line="226" w:lineRule="auto"/>
        <w:tabs>
          <w:tab w:leader="none" w:pos="1531"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located in the County of New York, the courts of the United States of America for the Southern District of New York, and the appellate courts of any of them;</w:t>
      </w:r>
    </w:p>
    <w:p>
      <w:pPr>
        <w:spacing w:after="0" w:line="116" w:lineRule="exact"/>
        <w:rPr>
          <w:rFonts w:ascii="Times New Roman" w:cs="Times New Roman" w:eastAsia="Times New Roman" w:hAnsi="Times New Roman"/>
          <w:sz w:val="16"/>
          <w:szCs w:val="16"/>
          <w:color w:val="auto"/>
        </w:rPr>
      </w:pPr>
    </w:p>
    <w:p>
      <w:pPr>
        <w:jc w:val="both"/>
        <w:ind w:left="520" w:firstLine="503"/>
        <w:spacing w:after="0" w:line="221" w:lineRule="auto"/>
        <w:tabs>
          <w:tab w:leader="none" w:pos="152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that any such action or proceeding may be brought in any court described in Section 12.12(a)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28" w:lineRule="exact"/>
        <w:rPr>
          <w:rFonts w:ascii="Times New Roman" w:cs="Times New Roman" w:eastAsia="Times New Roman" w:hAnsi="Times New Roman"/>
          <w:sz w:val="16"/>
          <w:szCs w:val="16"/>
          <w:color w:val="auto"/>
        </w:rPr>
      </w:pPr>
    </w:p>
    <w:p>
      <w:pPr>
        <w:ind w:left="520" w:firstLine="503"/>
        <w:spacing w:after="0" w:line="235" w:lineRule="auto"/>
        <w:tabs>
          <w:tab w:leader="none" w:pos="1531"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service of process in any such action or proceeding may be effected by mailing a copy thereof by registered or certified mail (or any substantially similar form of mail), postage prepaid, to such party at its address referenced in Section 12.02 or at such other address as may be permitted thereunder;</w:t>
      </w:r>
    </w:p>
    <w:p>
      <w:pPr>
        <w:spacing w:after="0" w:line="11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nothing herein shall affect the right to effect service of process in any other manner permitted by law; and</w:t>
      </w:r>
    </w:p>
    <w:p>
      <w:pPr>
        <w:spacing w:after="0" w:line="144" w:lineRule="exact"/>
        <w:rPr>
          <w:rFonts w:ascii="Times New Roman" w:cs="Times New Roman" w:eastAsia="Times New Roman" w:hAnsi="Times New Roman"/>
          <w:sz w:val="16"/>
          <w:szCs w:val="16"/>
          <w:color w:val="auto"/>
        </w:rPr>
      </w:pPr>
    </w:p>
    <w:p>
      <w:pPr>
        <w:jc w:val="both"/>
        <w:ind w:left="520" w:firstLine="503"/>
        <w:spacing w:after="0" w:line="221" w:lineRule="auto"/>
        <w:tabs>
          <w:tab w:leader="none" w:pos="1531"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waives, to the maximum extent not prohibited by law, any right it may have to claim or recover in any legal action or proceeding against any party hereto or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26"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i w:val="1"/>
          <w:iCs w:val="1"/>
          <w:color w:val="auto"/>
        </w:rPr>
        <w:t>Section 447.13 WAIVER OF JURY TRIAL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EACH OF THE PARTIES HERETO HEREBY IRREVOCABLY AND UNCONDITIONALLY WAIVES TRIAL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JURY IN ANY LEGAL ACTION OR PROCEEDING RELATING TO THIS AGREEMENT OR ANY OTHER</w:t>
      </w:r>
    </w:p>
    <w:p>
      <w:pPr>
        <w:sectPr>
          <w:pgSz w:w="11900" w:h="16838" w:orient="portrait"/>
          <w:cols w:equalWidth="0" w:num="1">
            <w:col w:w="11280"/>
          </w:cols>
          <w:pgMar w:left="300" w:top="1128" w:right="3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6"/>
          <w:szCs w:val="16"/>
          <w:b w:val="1"/>
          <w:bCs w:val="1"/>
          <w:color w:val="auto"/>
        </w:rPr>
        <w:t>FACILITY DOCUMENT OR FOR ANY COUNTERCLAIM THEREIN OR RELATING THERETO</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 xml:space="preserve">Section 447.14 SERVICE OF PROCESS. </w:t>
      </w:r>
      <w:r>
        <w:rPr>
          <w:rFonts w:ascii="Times New Roman" w:cs="Times New Roman" w:eastAsia="Times New Roman" w:hAnsi="Times New Roman"/>
          <w:sz w:val="16"/>
          <w:szCs w:val="16"/>
          <w:b w:val="1"/>
          <w:bCs w:val="1"/>
          <w:color w:val="auto"/>
        </w:rPr>
        <w:t>EACH OF THE PARTIES HERETO WAIVES PERSONAL SERVICE OF PROCESS AND IRREVOCABLY</w:t>
      </w:r>
    </w:p>
    <w:p>
      <w:pPr>
        <w:spacing w:after="0" w:line="224" w:lineRule="auto"/>
        <w:rPr>
          <w:sz w:val="20"/>
          <w:szCs w:val="20"/>
          <w:color w:val="auto"/>
        </w:rPr>
      </w:pPr>
      <w:r>
        <w:rPr>
          <w:rFonts w:ascii="Times New Roman" w:cs="Times New Roman" w:eastAsia="Times New Roman" w:hAnsi="Times New Roman"/>
          <w:sz w:val="16"/>
          <w:szCs w:val="16"/>
          <w:b w:val="1"/>
          <w:bCs w:val="1"/>
          <w:color w:val="auto"/>
        </w:rPr>
        <w:t>CONSENTS TO SERVICE OF PROCESS IN THE MANNER PROVIDED FOR NOTICES IN SECTION 12.02. NOTHING IN THIS AGREEMENT WILL AFFECT THE RIGHT OF ANY PARTY TO THIS AGREEMENT TO SERVE PROCESS IN ANY OTHER MANNER PERMITTED BY LAW</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6"/>
          <w:szCs w:val="16"/>
          <w:i w:val="1"/>
          <w:iCs w:val="1"/>
          <w:color w:val="auto"/>
        </w:rPr>
        <w:t xml:space="preserve">Section 447.15 Waiver of Setoff. </w:t>
      </w:r>
      <w:r>
        <w:rPr>
          <w:rFonts w:ascii="Times New Roman" w:cs="Times New Roman" w:eastAsia="Times New Roman" w:hAnsi="Times New Roman"/>
          <w:sz w:val="16"/>
          <w:szCs w:val="16"/>
          <w:color w:val="auto"/>
        </w:rPr>
        <w:t>The Borrower hereby waives any right of setoff it may have or to which it may be entitled under this Agreement from time to time against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Lender or its assets.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447.16 PATRIOT Act Notice. </w:t>
      </w:r>
      <w:r>
        <w:rPr>
          <w:rFonts w:ascii="Times New Roman" w:cs="Times New Roman" w:eastAsia="Times New Roman" w:hAnsi="Times New Roman"/>
          <w:sz w:val="14"/>
          <w:szCs w:val="14"/>
          <w:color w:val="auto"/>
        </w:rPr>
        <w:t>Each Lender and the Administrative Agent hereby notifies the Borrower that pursuant to the requirements of the USA PATRIOT Act</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(Title III of Pub. L. 107 56 (signed into law on October 26, 2001)) (the “PATRIOT Act”) and the Beneficial Ownership Regulation, it is required to obtain, verify and record information that identifies the Borrower, which information includes the name and address of the Borrower, a Beneficial Ownership Certification and other information that will</w:t>
      </w:r>
    </w:p>
    <w:p>
      <w:pPr>
        <w:spacing w:after="0" w:line="237" w:lineRule="auto"/>
        <w:rPr>
          <w:sz w:val="20"/>
          <w:szCs w:val="20"/>
          <w:color w:val="auto"/>
        </w:rPr>
      </w:pPr>
      <w:r>
        <w:rPr>
          <w:rFonts w:ascii="Times New Roman" w:cs="Times New Roman" w:eastAsia="Times New Roman" w:hAnsi="Times New Roman"/>
          <w:sz w:val="14"/>
          <w:szCs w:val="14"/>
          <w:color w:val="auto"/>
        </w:rPr>
        <w:t>allow the Lenders to identify the Borrower in accordance with the PATRIOT Act and the Beneficial Ownership Regulation. The Borrower shall provide to the extent commercially</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reasonable, such information and take such actions as are reasonably requested by any Lender in order to assist such Lender in maintaining compliance with the PATRIOT Act and the Beneficial Ownership Regulation.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447.17 Business Days. </w:t>
      </w:r>
      <w:r>
        <w:rPr>
          <w:rFonts w:ascii="Times New Roman" w:cs="Times New Roman" w:eastAsia="Times New Roman" w:hAnsi="Times New Roman"/>
          <w:sz w:val="14"/>
          <w:szCs w:val="14"/>
          <w:color w:val="auto"/>
        </w:rPr>
        <w:t>In the event that the date of any Payment Date, date of prepayment or Final Maturity Date shall not be a Business Day, then notwithstanding</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w:t>
      </w:r>
    </w:p>
    <w:p>
      <w:pPr>
        <w:spacing w:after="0"/>
        <w:rPr>
          <w:sz w:val="20"/>
          <w:szCs w:val="20"/>
          <w:color w:val="auto"/>
        </w:rPr>
      </w:pPr>
      <w:r>
        <w:rPr>
          <w:rFonts w:ascii="Times New Roman" w:cs="Times New Roman" w:eastAsia="Times New Roman" w:hAnsi="Times New Roman"/>
          <w:sz w:val="16"/>
          <w:szCs w:val="16"/>
          <w:color w:val="auto"/>
        </w:rPr>
        <w:t>for the period from and after any such nominal date to but excluding such next succeeding Business Day.</w:t>
      </w:r>
    </w:p>
    <w:p>
      <w:pPr>
        <w:spacing w:after="0" w:line="125"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6"/>
          <w:szCs w:val="16"/>
          <w:i w:val="1"/>
          <w:iCs w:val="1"/>
          <w:color w:val="auto"/>
        </w:rPr>
        <w:t xml:space="preserve">Section 447.18 Third Party Beneficiary. </w:t>
      </w:r>
      <w:r>
        <w:rPr>
          <w:rFonts w:ascii="Times New Roman" w:cs="Times New Roman" w:eastAsia="Times New Roman" w:hAnsi="Times New Roman"/>
          <w:sz w:val="16"/>
          <w:szCs w:val="16"/>
          <w:color w:val="auto"/>
        </w:rPr>
        <w:t>The parties hereto acknowledge and agree that the Indemnified Parties and the Affected Persons are third party beneficiaries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447.19 No Fiduciary Duty. </w:t>
      </w:r>
      <w:r>
        <w:rPr>
          <w:rFonts w:ascii="Times New Roman" w:cs="Times New Roman" w:eastAsia="Times New Roman" w:hAnsi="Times New Roman"/>
          <w:sz w:val="14"/>
          <w:szCs w:val="14"/>
          <w:color w:val="auto"/>
        </w:rPr>
        <w:t>The Administrative Agent, each Lender and their Affiliates (collectively, solely for purposes of this paragraph, the “</w:t>
      </w:r>
      <w:r>
        <w:rPr>
          <w:rFonts w:ascii="Times New Roman" w:cs="Times New Roman" w:eastAsia="Times New Roman" w:hAnsi="Times New Roman"/>
          <w:sz w:val="14"/>
          <w:szCs w:val="14"/>
          <w:i w:val="1"/>
          <w:iCs w:val="1"/>
          <w:color w:val="auto"/>
        </w:rPr>
        <w:t>Lenders</w:t>
      </w:r>
      <w:r>
        <w:rPr>
          <w:rFonts w:ascii="Times New Roman" w:cs="Times New Roman" w:eastAsia="Times New Roman" w:hAnsi="Times New Roman"/>
          <w:sz w:val="14"/>
          <w:szCs w:val="14"/>
          <w:color w:val="auto"/>
        </w:rPr>
        <w:t>”),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economic interests that conflict with those of the Borrower, its stockholders or their Affiliates. The Borrower agrees that nothing in the Facility Documents or otherwise will be</w:t>
      </w:r>
    </w:p>
    <w:p>
      <w:pPr>
        <w:spacing w:after="0" w:line="208" w:lineRule="auto"/>
        <w:rPr>
          <w:sz w:val="20"/>
          <w:szCs w:val="20"/>
          <w:color w:val="auto"/>
        </w:rPr>
      </w:pPr>
      <w:r>
        <w:rPr>
          <w:rFonts w:ascii="Times New Roman" w:cs="Times New Roman" w:eastAsia="Times New Roman" w:hAnsi="Times New Roman"/>
          <w:sz w:val="16"/>
          <w:szCs w:val="16"/>
          <w:color w:val="auto"/>
        </w:rPr>
        <w:t>deemed to create an advisory, fiduciary or agency relationship or fiduciary or other implied duty between any Lender, on the one hand, and the Borrower, its stockholders or its</w:t>
      </w:r>
    </w:p>
    <w:p>
      <w:pPr>
        <w:spacing w:after="0" w:line="229" w:lineRule="auto"/>
        <w:rPr>
          <w:sz w:val="20"/>
          <w:szCs w:val="20"/>
          <w:color w:val="auto"/>
        </w:rPr>
      </w:pPr>
      <w:r>
        <w:rPr>
          <w:rFonts w:ascii="Times New Roman" w:cs="Times New Roman" w:eastAsia="Times New Roman" w:hAnsi="Times New Roman"/>
          <w:sz w:val="14"/>
          <w:szCs w:val="14"/>
          <w:color w:val="auto"/>
        </w:rPr>
        <w:t>Affiliates, on the other. The Borrower acknowledges and agrees that (i) the transactions contemplated by the Facility Documents (including the exercise of rights and remedies hereunder and thereunder) are arm’s length commercial transactions between the Lenders, on the one hand, and the Borrower, on the other, and (ii) in connection therewith and with</w:t>
      </w:r>
    </w:p>
    <w:p>
      <w:pPr>
        <w:spacing w:after="0" w:line="208" w:lineRule="auto"/>
        <w:rPr>
          <w:sz w:val="20"/>
          <w:szCs w:val="20"/>
          <w:color w:val="auto"/>
        </w:rPr>
      </w:pPr>
      <w:r>
        <w:rPr>
          <w:rFonts w:ascii="Times New Roman" w:cs="Times New Roman" w:eastAsia="Times New Roman" w:hAnsi="Times New Roman"/>
          <w:sz w:val="16"/>
          <w:szCs w:val="16"/>
          <w:color w:val="auto"/>
        </w:rPr>
        <w:t>the process leading thereto, (x) no Lender has assumed an advisory or fiduciary responsibility in favor of the Borrower, its stockholders or its Affiliates with respect to the</w:t>
      </w:r>
    </w:p>
    <w:p>
      <w:pPr>
        <w:spacing w:after="0" w:line="229" w:lineRule="auto"/>
        <w:rPr>
          <w:sz w:val="20"/>
          <w:szCs w:val="20"/>
          <w:color w:val="auto"/>
        </w:rPr>
      </w:pPr>
      <w:r>
        <w:rPr>
          <w:rFonts w:ascii="Times New Roman" w:cs="Times New Roman" w:eastAsia="Times New Roman" w:hAnsi="Times New Roman"/>
          <w:sz w:val="14"/>
          <w:szCs w:val="14"/>
          <w:color w:val="auto"/>
        </w:rPr>
        <w:t>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w:t>
      </w:r>
    </w:p>
    <w:p>
      <w:pPr>
        <w:spacing w:after="0" w:line="208" w:lineRule="auto"/>
        <w:rPr>
          <w:sz w:val="20"/>
          <w:szCs w:val="20"/>
          <w:color w:val="auto"/>
        </w:rPr>
      </w:pPr>
      <w:r>
        <w:rPr>
          <w:rFonts w:ascii="Times New Roman" w:cs="Times New Roman" w:eastAsia="Times New Roman" w:hAnsi="Times New Roman"/>
          <w:sz w:val="16"/>
          <w:szCs w:val="16"/>
          <w:color w:val="auto"/>
        </w:rPr>
        <w:t>the Facility Documents and (y) each Lender is acting solely as principal and not as the agent or fiduciary of the Borrower, its management, stockholders, creditors or any other</w:t>
      </w:r>
    </w:p>
    <w:p>
      <w:pPr>
        <w:spacing w:after="0" w:line="229" w:lineRule="auto"/>
        <w:rPr>
          <w:sz w:val="20"/>
          <w:szCs w:val="20"/>
          <w:color w:val="auto"/>
        </w:rPr>
      </w:pPr>
      <w:r>
        <w:rPr>
          <w:rFonts w:ascii="Times New Roman" w:cs="Times New Roman" w:eastAsia="Times New Roman" w:hAnsi="Times New Roman"/>
          <w:sz w:val="14"/>
          <w:szCs w:val="14"/>
          <w:color w:val="auto"/>
        </w:rPr>
        <w:t>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w:t>
      </w:r>
    </w:p>
    <w:p>
      <w:pPr>
        <w:spacing w:after="0"/>
        <w:rPr>
          <w:sz w:val="20"/>
          <w:szCs w:val="20"/>
          <w:color w:val="auto"/>
        </w:rPr>
      </w:pPr>
      <w:r>
        <w:rPr>
          <w:rFonts w:ascii="Times New Roman" w:cs="Times New Roman" w:eastAsia="Times New Roman" w:hAnsi="Times New Roman"/>
          <w:sz w:val="16"/>
          <w:szCs w:val="16"/>
          <w:color w:val="auto"/>
        </w:rPr>
        <w:t>services of any nature or respect, or owes a fiduciary or similar duty to the Borrower, in connection with such transaction or the process leading thereto.</w:t>
      </w:r>
    </w:p>
    <w:p>
      <w:pPr>
        <w:spacing w:after="0" w:line="125"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6"/>
          <w:szCs w:val="16"/>
          <w:i w:val="1"/>
          <w:iCs w:val="1"/>
          <w:color w:val="auto"/>
        </w:rPr>
        <w:t xml:space="preserve">Section 447.20 Non-Reliance on Administrative Agent and other Lenders. </w:t>
      </w:r>
      <w:r>
        <w:rPr>
          <w:rFonts w:ascii="Times New Roman" w:cs="Times New Roman" w:eastAsia="Times New Roman" w:hAnsi="Times New Roman"/>
          <w:sz w:val="16"/>
          <w:szCs w:val="16"/>
          <w:color w:val="auto"/>
        </w:rPr>
        <w:t>Each Lender acknowledges that it has, independently and without reliance upon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or any other</w:t>
      </w:r>
    </w:p>
    <w:p>
      <w:pPr>
        <w:sectPr>
          <w:pgSz w:w="11900" w:h="16838" w:orient="portrait"/>
          <w:cols w:equalWidth="0" w:num="1">
            <w:col w:w="11280"/>
          </w:cols>
          <w:pgMar w:left="300" w:top="1126" w:right="3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4"/>
          <w:szCs w:val="14"/>
          <w:color w:val="auto"/>
        </w:rPr>
        <w:t>Lender or any of their Affiliates or the respective officers, directors, employees, agents, managers of, and any Person controlling any of, the foregoing, and based on such documents</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and information as it has deemed appropriate, made its own credit analysis and decision to enter into this Agreement. Each Lender also acknowledges that it will, independently and without reliance upon the Administrative Agent or any other Lender or any of their Affiliates or the respective officers, directors, employees, agents, managers of, and any Person</w:t>
      </w:r>
    </w:p>
    <w:p>
      <w:pPr>
        <w:spacing w:after="0" w:line="224" w:lineRule="auto"/>
        <w:rPr>
          <w:sz w:val="20"/>
          <w:szCs w:val="20"/>
          <w:color w:val="auto"/>
        </w:rPr>
      </w:pPr>
      <w:r>
        <w:rPr>
          <w:rFonts w:ascii="Times New Roman" w:cs="Times New Roman" w:eastAsia="Times New Roman" w:hAnsi="Times New Roman"/>
          <w:sz w:val="16"/>
          <w:szCs w:val="16"/>
          <w:color w:val="auto"/>
        </w:rPr>
        <w:t>controlling any of, the foregoing, and based on such documents and information as it shall from time to time deem appropriate, continue to make its own decisions in taking or not taking action under or based upon this Agreement, any other Facility Document or any related agreement or any document furnished hereunder or thereunder.</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447.21 Acknowledgement and Consent to Bail-In of Affected Financial Institutions. </w:t>
      </w:r>
      <w:r>
        <w:rPr>
          <w:rFonts w:ascii="Times New Roman" w:cs="Times New Roman" w:eastAsia="Times New Roman" w:hAnsi="Times New Roman"/>
          <w:sz w:val="14"/>
          <w:szCs w:val="14"/>
          <w:color w:val="auto"/>
        </w:rPr>
        <w:t>Notwithstanding anything to the contrary in any Facility Document or in 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agreement, arrangement or understanding among any such parties, each party hereto acknowledges that any liability of any Affected Financial Institution arising under any</w:t>
      </w:r>
    </w:p>
    <w:p>
      <w:pPr>
        <w:spacing w:after="0" w:line="217" w:lineRule="auto"/>
        <w:rPr>
          <w:sz w:val="20"/>
          <w:szCs w:val="20"/>
          <w:color w:val="auto"/>
        </w:rPr>
      </w:pPr>
      <w:r>
        <w:rPr>
          <w:rFonts w:ascii="Times New Roman" w:cs="Times New Roman" w:eastAsia="Times New Roman" w:hAnsi="Times New Roman"/>
          <w:sz w:val="16"/>
          <w:szCs w:val="16"/>
          <w:color w:val="auto"/>
        </w:rPr>
        <w:t>Facility Document, to the extent such liability is unsecured, may be subject to the write-down and conversion powers of the applicable Resolution Authority and agrees and consents to, and acknowledges and agrees to be bound by:</w:t>
      </w:r>
    </w:p>
    <w:p>
      <w:pPr>
        <w:spacing w:after="0" w:line="127" w:lineRule="exact"/>
        <w:rPr>
          <w:sz w:val="20"/>
          <w:szCs w:val="20"/>
          <w:color w:val="auto"/>
        </w:rPr>
      </w:pPr>
    </w:p>
    <w:p>
      <w:pPr>
        <w:ind w:left="520" w:firstLine="503"/>
        <w:spacing w:after="0" w:line="235" w:lineRule="auto"/>
        <w:tabs>
          <w:tab w:leader="none" w:pos="153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1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any Bail-In Action on any such liability, including, if applicable:</w:t>
      </w:r>
    </w:p>
    <w:p>
      <w:pPr>
        <w:spacing w:after="0" w:line="144" w:lineRule="exact"/>
        <w:rPr>
          <w:rFonts w:ascii="Times New Roman" w:cs="Times New Roman" w:eastAsia="Times New Roman" w:hAnsi="Times New Roman"/>
          <w:sz w:val="16"/>
          <w:szCs w:val="16"/>
          <w:color w:val="auto"/>
        </w:rPr>
      </w:pPr>
    </w:p>
    <w:p>
      <w:pPr>
        <w:ind w:left="2040" w:hanging="507"/>
        <w:spacing w:after="0"/>
        <w:tabs>
          <w:tab w:leader="none" w:pos="2040"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full or in part or cancellation of any such liability;</w:t>
      </w:r>
    </w:p>
    <w:p>
      <w:pPr>
        <w:spacing w:after="0" w:line="144" w:lineRule="exact"/>
        <w:rPr>
          <w:rFonts w:ascii="Times New Roman" w:cs="Times New Roman" w:eastAsia="Times New Roman" w:hAnsi="Times New Roman"/>
          <w:sz w:val="16"/>
          <w:szCs w:val="16"/>
          <w:color w:val="auto"/>
        </w:rPr>
      </w:pPr>
    </w:p>
    <w:p>
      <w:pPr>
        <w:jc w:val="both"/>
        <w:ind w:left="1020" w:firstLine="513"/>
        <w:spacing w:after="0" w:line="221" w:lineRule="auto"/>
        <w:tabs>
          <w:tab w:leader="none" w:pos="2037"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110" w:lineRule="exact"/>
        <w:rPr>
          <w:rFonts w:ascii="Times New Roman" w:cs="Times New Roman" w:eastAsia="Times New Roman" w:hAnsi="Times New Roman"/>
          <w:sz w:val="16"/>
          <w:szCs w:val="16"/>
          <w:color w:val="auto"/>
        </w:rPr>
      </w:pPr>
    </w:p>
    <w:p>
      <w:pPr>
        <w:ind w:left="2040" w:hanging="507"/>
        <w:spacing w:after="0"/>
        <w:tabs>
          <w:tab w:leader="none" w:pos="2040"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variation of the terms of such liability in connection with the exercise of the write-down and conversion powers of the applicable Resolution</w:t>
      </w: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w:t>
      </w:r>
    </w:p>
    <w:p>
      <w:pPr>
        <w:spacing w:after="0" w:line="12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Section 447.22 Acknowledgement Regarding Any Supported QFCs. </w:t>
      </w:r>
      <w:r>
        <w:rPr>
          <w:rFonts w:ascii="Times New Roman" w:cs="Times New Roman" w:eastAsia="Times New Roman" w:hAnsi="Times New Roman"/>
          <w:sz w:val="14"/>
          <w:szCs w:val="14"/>
          <w:color w:val="auto"/>
        </w:rPr>
        <w:t>To the extent that the Facility Documents provide support, through a guarantee or otherwise,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hedging agreements or any other agreement or instrument that is a QFC (such support, “QFC Credit Support” and each such QFC a “Supported QFC”), the parties acknowledge and</w:t>
      </w:r>
    </w:p>
    <w:p>
      <w:pPr>
        <w:spacing w:after="0" w:line="237" w:lineRule="auto"/>
        <w:rPr>
          <w:sz w:val="20"/>
          <w:szCs w:val="20"/>
          <w:color w:val="auto"/>
        </w:rPr>
      </w:pPr>
      <w:r>
        <w:rPr>
          <w:rFonts w:ascii="Times New Roman" w:cs="Times New Roman" w:eastAsia="Times New Roman" w:hAnsi="Times New Roman"/>
          <w:sz w:val="14"/>
          <w:szCs w:val="14"/>
          <w:color w:val="auto"/>
        </w:rPr>
        <w:t>agree with respect to the resolution power of the Federal Deposit Insurance Corporation under the Federal Deposit Insurance Act and Title II of the Dodd-Frank Wall Street Reform</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and Consumer Protection Act (together with the regulations promulgated thereunder, the “U.S. Special Resolution Regimes”) in respect of such Supported QFC and QFC Credit Support (with this Section 12.22 applicable notwithstanding that the Facility Documents and any Supported QFC may in fact be stated to be governed by the laws of the State of</w:t>
      </w:r>
    </w:p>
    <w:p>
      <w:pPr>
        <w:spacing w:after="0" w:line="208" w:lineRule="auto"/>
        <w:rPr>
          <w:sz w:val="20"/>
          <w:szCs w:val="20"/>
          <w:color w:val="auto"/>
        </w:rPr>
      </w:pPr>
      <w:r>
        <w:rPr>
          <w:rFonts w:ascii="Times New Roman" w:cs="Times New Roman" w:eastAsia="Times New Roman" w:hAnsi="Times New Roman"/>
          <w:sz w:val="16"/>
          <w:szCs w:val="16"/>
          <w:color w:val="auto"/>
        </w:rPr>
        <w:t>New York or of the U.S. or any other state of the U.S.) that in the event a Covered Entity that is party to a Supported QFC (each, a “Covered Party”) becomes subject to a</w:t>
      </w:r>
    </w:p>
    <w:p>
      <w:pPr>
        <w:spacing w:after="0" w:line="229" w:lineRule="auto"/>
        <w:rPr>
          <w:sz w:val="20"/>
          <w:szCs w:val="20"/>
          <w:color w:val="auto"/>
        </w:rPr>
      </w:pPr>
      <w:r>
        <w:rPr>
          <w:rFonts w:ascii="Times New Roman" w:cs="Times New Roman" w:eastAsia="Times New Roman" w:hAnsi="Times New Roman"/>
          <w:sz w:val="14"/>
          <w:szCs w:val="14"/>
          <w:color w:val="auto"/>
        </w:rPr>
        <w:t>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w:t>
      </w:r>
    </w:p>
    <w:p>
      <w:pPr>
        <w:spacing w:after="0" w:line="237" w:lineRule="auto"/>
        <w:rPr>
          <w:sz w:val="20"/>
          <w:szCs w:val="20"/>
          <w:color w:val="auto"/>
        </w:rPr>
      </w:pPr>
      <w:r>
        <w:rPr>
          <w:rFonts w:ascii="Times New Roman" w:cs="Times New Roman" w:eastAsia="Times New Roman" w:hAnsi="Times New Roman"/>
          <w:sz w:val="14"/>
          <w:szCs w:val="14"/>
          <w:color w:val="auto"/>
        </w:rPr>
        <w:t>to the same extent as the transfer would be effective under the U.S. Special Resolution Regime if the Supported QFC and such QFC Credit Support (and any such interest, obligation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and rights in property) were governed by the laws of the U.S. or a state of the U.S. In the event a Covered Party or a BHC Act Affiliate of a Covered Party becomes subject to a proceeding under a U.S. Special Resolution Regime, Default Rights under the Facility Documents that might otherwise apply to such Supported QFC or any QFC Credit Support</w:t>
      </w:r>
    </w:p>
    <w:p>
      <w:pPr>
        <w:spacing w:after="0" w:line="224" w:lineRule="auto"/>
        <w:rPr>
          <w:sz w:val="20"/>
          <w:szCs w:val="20"/>
          <w:color w:val="auto"/>
        </w:rPr>
      </w:pPr>
      <w:r>
        <w:rPr>
          <w:rFonts w:ascii="Times New Roman" w:cs="Times New Roman" w:eastAsia="Times New Roman" w:hAnsi="Times New Roman"/>
          <w:sz w:val="16"/>
          <w:szCs w:val="16"/>
          <w:color w:val="auto"/>
        </w:rPr>
        <w:t>that may be exercised against such Covered Party are permitted to be exercised to no greater extent than such Default Rights could be exercised under the U.S. Special Resolution Regime if the Supported QFC and the Facility Documents were governed by the laws of the U.S. or a state of the U.S.</w:t>
      </w:r>
    </w:p>
    <w:p>
      <w:pPr>
        <w:sectPr>
          <w:pgSz w:w="11900" w:h="16838" w:orient="portrait"/>
          <w:cols w:equalWidth="0" w:num="1">
            <w:col w:w="11280"/>
          </w:cols>
          <w:pgMar w:left="300" w:top="1128" w:right="319" w:bottom="1440" w:gutter="0" w:footer="0" w:header="0"/>
        </w:sectPr>
      </w:pPr>
    </w:p>
    <w:bookmarkStart w:id="315" w:name="page316"/>
    <w:bookmarkEnd w:id="315"/>
    <w:p>
      <w:pPr>
        <w:ind w:left="520"/>
        <w:spacing w:after="0"/>
        <w:rPr>
          <w:sz w:val="20"/>
          <w:szCs w:val="20"/>
          <w:color w:val="auto"/>
        </w:rPr>
      </w:pPr>
      <w:r>
        <w:rPr>
          <w:rFonts w:ascii="Times New Roman" w:cs="Times New Roman" w:eastAsia="Times New Roman" w:hAnsi="Times New Roman"/>
          <w:sz w:val="16"/>
          <w:szCs w:val="16"/>
          <w:i w:val="1"/>
          <w:iCs w:val="1"/>
          <w:color w:val="auto"/>
        </w:rPr>
        <w:t>Section 447.23 Non-Petition.</w:t>
      </w:r>
    </w:p>
    <w:p>
      <w:pPr>
        <w:spacing w:after="0" w:line="147" w:lineRule="exact"/>
        <w:rPr>
          <w:sz w:val="20"/>
          <w:szCs w:val="20"/>
          <w:color w:val="auto"/>
        </w:rPr>
      </w:pPr>
    </w:p>
    <w:p>
      <w:pPr>
        <w:jc w:val="both"/>
        <w:ind w:left="520" w:firstLine="503"/>
        <w:spacing w:after="0" w:line="218" w:lineRule="auto"/>
        <w:tabs>
          <w:tab w:leader="none" w:pos="153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(other than the Administrative Agent acting at the direction of the Required Lenders) hereby covenants and agrees that, prior to the date that is one (1) year and one (1) day after the payment in full of all outstanding Advances, it shall not institute against, or join any other Person in instituting against, the Borrower any bankruptcy, reorganization, arrangement, insolvency or liquidation proceedings or other similar proceeding under the laws of the United States or any state of the United States or any other jurisdiction.</w:t>
      </w:r>
    </w:p>
    <w:p>
      <w:pPr>
        <w:spacing w:after="0" w:line="116" w:lineRule="exact"/>
        <w:rPr>
          <w:rFonts w:ascii="Times New Roman" w:cs="Times New Roman" w:eastAsia="Times New Roman" w:hAnsi="Times New Roman"/>
          <w:sz w:val="16"/>
          <w:szCs w:val="16"/>
          <w:color w:val="auto"/>
        </w:rPr>
      </w:pPr>
    </w:p>
    <w:p>
      <w:pPr>
        <w:jc w:val="both"/>
        <w:ind w:left="520" w:firstLine="503"/>
        <w:spacing w:after="0" w:line="226" w:lineRule="auto"/>
        <w:tabs>
          <w:tab w:leader="none" w:pos="1529"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(other than Administrative Agent acting at the direction of the Required Lenders) hereby covenants and agrees that it shall not at any time institute against, solicit or join or cooperate with or encourage any institution against Borrower of, any bankruptcy, reorganization, arrangement, insolvency or liquidation proceedings or other similar proceeding under any United States federal or state bankruptcy or similar law.</w:t>
      </w:r>
    </w:p>
    <w:p>
      <w:pPr>
        <w:spacing w:after="0" w:line="116" w:lineRule="exact"/>
        <w:rPr>
          <w:rFonts w:ascii="Times New Roman" w:cs="Times New Roman" w:eastAsia="Times New Roman" w:hAnsi="Times New Roman"/>
          <w:sz w:val="16"/>
          <w:szCs w:val="16"/>
          <w:color w:val="auto"/>
        </w:rPr>
      </w:pPr>
    </w:p>
    <w:p>
      <w:pPr>
        <w:jc w:val="both"/>
        <w:ind w:left="520" w:firstLine="503"/>
        <w:spacing w:after="0" w:line="218" w:lineRule="auto"/>
        <w:tabs>
          <w:tab w:leader="none" w:pos="153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 12.23 shall preclude, or be deemed to estop, any of the foregoing Persons from taking (to the extent such action is otherwise permitted to be taken by such Person hereunder) or omitting to take any action prior to such date in (i) any case or proceeding with respect to Borrower voluntarily filed or commenced by or on behalf of Borrower under or pursuant to any such law or (ii) any involuntary case or proceeding pertaining to Borrower under or pursuant to any such law, which involuntary use was not commenced by any of the foregoing Persons.</w:t>
      </w:r>
    </w:p>
    <w:p>
      <w:pPr>
        <w:spacing w:after="0" w:line="1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ARTICLE 448.</w:t>
      </w:r>
    </w:p>
    <w:p>
      <w:pPr>
        <w:spacing w:after="0" w:line="1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SYNDICATION</w:t>
      </w:r>
    </w:p>
    <w:p>
      <w:pPr>
        <w:spacing w:after="0" w:line="145"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Section 448.01 Syndication. </w:t>
      </w:r>
      <w:r>
        <w:rPr>
          <w:rFonts w:ascii="Times New Roman" w:cs="Times New Roman" w:eastAsia="Times New Roman" w:hAnsi="Times New Roman"/>
          <w:sz w:val="16"/>
          <w:szCs w:val="16"/>
          <w:color w:val="auto"/>
        </w:rPr>
        <w:t>The Lenders may at any time sell, assign or participate any portion or all of the Advances and the Facility Documents to one or more Persons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the terms and conditions of this Article 13.</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Section 448.02 Assignment of Advances, Participations, Appointment of Agent.</w:t>
      </w:r>
    </w:p>
    <w:p>
      <w:pPr>
        <w:spacing w:after="0" w:line="147" w:lineRule="exact"/>
        <w:rPr>
          <w:sz w:val="20"/>
          <w:szCs w:val="20"/>
          <w:color w:val="auto"/>
        </w:rPr>
      </w:pPr>
    </w:p>
    <w:p>
      <w:pPr>
        <w:jc w:val="both"/>
        <w:ind w:left="520" w:firstLine="503"/>
        <w:spacing w:after="0" w:line="236" w:lineRule="auto"/>
        <w:tabs>
          <w:tab w:leader="none" w:pos="1531"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Lenders may, at their individual option, sell and assign all or any part of their right, title and interest in, and to, and under the Advances and this Agreement, on a pro rata basis, in the sole discretion of such Lender (the “</w:t>
      </w:r>
      <w:r>
        <w:rPr>
          <w:rFonts w:ascii="Times New Roman" w:cs="Times New Roman" w:eastAsia="Times New Roman" w:hAnsi="Times New Roman"/>
          <w:sz w:val="14"/>
          <w:szCs w:val="14"/>
          <w:i w:val="1"/>
          <w:iCs w:val="1"/>
          <w:color w:val="auto"/>
        </w:rPr>
        <w:t>Syndication</w:t>
      </w:r>
      <w:r>
        <w:rPr>
          <w:rFonts w:ascii="Times New Roman" w:cs="Times New Roman" w:eastAsia="Times New Roman" w:hAnsi="Times New Roman"/>
          <w:sz w:val="14"/>
          <w:szCs w:val="14"/>
          <w:color w:val="auto"/>
        </w:rPr>
        <w:t>”), to one or more Eligible Assignees; provided that (i) any such sale and assignment shall be subject to the prior written consent of the Administrative Agent (such consent not to be unreasonably withheld, conditioned or delayed) other than with respect to a sale and an assignment that is made (x) following the occurrence and during the continuance of an Event of Default or (y) from a Lender to one or more of its Affiliates, and</w:t>
      </w:r>
    </w:p>
    <w:p>
      <w:pPr>
        <w:ind w:left="740" w:hanging="226"/>
        <w:spacing w:after="0" w:line="237" w:lineRule="auto"/>
        <w:tabs>
          <w:tab w:leader="none" w:pos="74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sale and assignment shall be subject to the Administrative Agent’s completion of satisfactory “know your customer” procedures in accordance with its internal</w:t>
      </w:r>
    </w:p>
    <w:p>
      <w:pPr>
        <w:ind w:left="520"/>
        <w:spacing w:after="0" w:line="237" w:lineRule="auto"/>
        <w:rPr>
          <w:sz w:val="20"/>
          <w:szCs w:val="20"/>
          <w:color w:val="auto"/>
        </w:rPr>
      </w:pPr>
      <w:r>
        <w:rPr>
          <w:rFonts w:ascii="Times New Roman" w:cs="Times New Roman" w:eastAsia="Times New Roman" w:hAnsi="Times New Roman"/>
          <w:sz w:val="14"/>
          <w:szCs w:val="14"/>
          <w:color w:val="auto"/>
        </w:rPr>
        <w:t>policies. Each additional Lender shall enter into an Assignment and Acceptance whereby the existing Lender (the “</w:t>
      </w:r>
      <w:r>
        <w:rPr>
          <w:rFonts w:ascii="Times New Roman" w:cs="Times New Roman" w:eastAsia="Times New Roman" w:hAnsi="Times New Roman"/>
          <w:sz w:val="14"/>
          <w:szCs w:val="14"/>
          <w:i w:val="1"/>
          <w:iCs w:val="1"/>
          <w:color w:val="auto"/>
        </w:rPr>
        <w:t>Assigning Lender</w:t>
      </w:r>
      <w:r>
        <w:rPr>
          <w:rFonts w:ascii="Times New Roman" w:cs="Times New Roman" w:eastAsia="Times New Roman" w:hAnsi="Times New Roman"/>
          <w:sz w:val="14"/>
          <w:szCs w:val="14"/>
          <w:color w:val="auto"/>
        </w:rPr>
        <w:t>”) assigns to such new Lender a portion</w:t>
      </w: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of its rights under the Advances, and pursuant to which the new Lender accepts such assignment. From and after the effective date specified in the Assignment and Acceptance (i) each new Lender shall be a party hereto and to each applicable Facility Document to the extent of the applicable percentage or percentages and, if applicable,</w:t>
      </w:r>
    </w:p>
    <w:p>
      <w:pPr>
        <w:ind w:left="520"/>
        <w:spacing w:after="0" w:line="237" w:lineRule="auto"/>
        <w:rPr>
          <w:sz w:val="20"/>
          <w:szCs w:val="20"/>
          <w:color w:val="auto"/>
        </w:rPr>
      </w:pPr>
      <w:r>
        <w:rPr>
          <w:rFonts w:ascii="Times New Roman" w:cs="Times New Roman" w:eastAsia="Times New Roman" w:hAnsi="Times New Roman"/>
          <w:sz w:val="14"/>
          <w:szCs w:val="14"/>
          <w:color w:val="auto"/>
        </w:rPr>
        <w:t>priorities, set forth in the Assignment and Acceptance and, except as specified otherwise herein, shall succeed to the rights of the Assigning Lender hereunder in respect of</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the Advances, and (ii) the Assigning Lender shall, to the extent such rights and obligations have been assigned by it pursuant to such Assignment and Acceptance, relinquish its rights and be released from its obligations hereunder and under the Facility Documents. The liabilities of each of the Lenders shall be several and not joint, and any</w:t>
      </w:r>
    </w:p>
    <w:p>
      <w:pPr>
        <w:ind w:left="520"/>
        <w:spacing w:after="0"/>
        <w:rPr>
          <w:sz w:val="20"/>
          <w:szCs w:val="20"/>
          <w:color w:val="auto"/>
        </w:rPr>
      </w:pPr>
      <w:r>
        <w:rPr>
          <w:rFonts w:ascii="Times New Roman" w:cs="Times New Roman" w:eastAsia="Times New Roman" w:hAnsi="Times New Roman"/>
          <w:sz w:val="16"/>
          <w:szCs w:val="16"/>
          <w:color w:val="auto"/>
        </w:rPr>
        <w:t>Lender’s Percentage shall be reduced by the amount of each such Assignment and Acceptance. No Lender shall be responsible for the obligations of any other Lender.</w:t>
      </w:r>
    </w:p>
    <w:p>
      <w:pPr>
        <w:spacing w:after="0" w:line="127" w:lineRule="exact"/>
        <w:rPr>
          <w:sz w:val="20"/>
          <w:szCs w:val="20"/>
          <w:color w:val="auto"/>
        </w:rPr>
      </w:pPr>
    </w:p>
    <w:p>
      <w:pPr>
        <w:ind w:left="520" w:firstLine="503"/>
        <w:spacing w:after="0" w:line="229" w:lineRule="auto"/>
        <w:tabs>
          <w:tab w:leader="none" w:pos="1529"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that it shall reasonably cooperate, in connection with any sale of all or any portion of the Advances permitted under Section 13.02(a), whether in whole or</w:t>
      </w:r>
    </w:p>
    <w:p>
      <w:pPr>
        <w:sectPr>
          <w:pgSz w:w="11900" w:h="16838" w:orient="portrait"/>
          <w:cols w:equalWidth="0" w:num="1">
            <w:col w:w="11280"/>
          </w:cols>
          <w:pgMar w:left="300" w:top="1126" w:right="319" w:bottom="1440" w:gutter="0" w:footer="0" w:header="0"/>
        </w:sectPr>
      </w:pPr>
    </w:p>
    <w:bookmarkStart w:id="316" w:name="page317"/>
    <w:bookmarkEnd w:id="316"/>
    <w:p>
      <w:pPr>
        <w:spacing w:after="0" w:line="235" w:lineRule="auto"/>
        <w:rPr>
          <w:sz w:val="20"/>
          <w:szCs w:val="20"/>
          <w:color w:val="auto"/>
        </w:rPr>
      </w:pPr>
      <w:r>
        <w:rPr>
          <w:rFonts w:ascii="Times New Roman" w:cs="Times New Roman" w:eastAsia="Times New Roman" w:hAnsi="Times New Roman"/>
          <w:sz w:val="16"/>
          <w:szCs w:val="16"/>
          <w:color w:val="auto"/>
        </w:rPr>
        <w:t>to an additional Lender or Participant, to furnish to Administrative Agent, any information as reasonably requested by any additional Lender or Participant in performing its due diligence in connection with its purchase of an interest in the Advances.</w:t>
      </w:r>
    </w:p>
    <w:p>
      <w:pPr>
        <w:spacing w:after="0" w:line="117" w:lineRule="exact"/>
        <w:rPr>
          <w:sz w:val="20"/>
          <w:szCs w:val="20"/>
          <w:color w:val="auto"/>
        </w:rPr>
      </w:pPr>
    </w:p>
    <w:p>
      <w:pPr>
        <w:jc w:val="both"/>
        <w:ind w:firstLine="503"/>
        <w:spacing w:after="0" w:line="211" w:lineRule="auto"/>
        <w:tabs>
          <w:tab w:leader="none" w:pos="1011"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acknowledges that the Administrative Agent shall have the sole and exclusive authority to execute and perform this Agreement and each Facility Document on behalf of itself and as agent for the Secured Parties. The Lenders acknowledge that the Administrative Agent shall retain the exclusive right to grant approvals and give consents required to be delivered hereunder, except as otherwise set forth herein. Except as otherwise provided herein, the Borrower shall have no obligation to recognize or deal directly with any Lender, and no Lender shall have any right to deal directly with the Borrower with respect to the rights, benefits and obligations of the Borrower under this Agreement, the Facility Documents or any one or more documents or instruments in respect thereof, except as explicitly provided herein or therein. The Borrower may rely conclusively on the actions of the Administrative Agent to bind the Lenders, notwithstanding that the particular action in question may, pursuant to this Agreement be subject to the consent or direction of some or all of the Lenders.</w:t>
      </w:r>
    </w:p>
    <w:p>
      <w:pPr>
        <w:spacing w:after="0" w:line="130" w:lineRule="exact"/>
        <w:rPr>
          <w:rFonts w:ascii="Times New Roman" w:cs="Times New Roman" w:eastAsia="Times New Roman" w:hAnsi="Times New Roman"/>
          <w:sz w:val="16"/>
          <w:szCs w:val="16"/>
          <w:color w:val="auto"/>
        </w:rPr>
      </w:pPr>
    </w:p>
    <w:p>
      <w:pPr>
        <w:jc w:val="both"/>
        <w:ind w:firstLine="503"/>
        <w:spacing w:after="0" w:line="221" w:lineRule="auto"/>
        <w:tabs>
          <w:tab w:leader="none" w:pos="100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to the contrary in this Agreement, the Administrative Agent shall not have any duties or responsibilities except those expressly set forth herein and no covenants, functions, responsibilities, duties, obligations or liabilities of the Administrative Agent shall be implied by or inferred from this Agreement or any other Facility Document, or otherwise exist against Administrative Agent.</w:t>
      </w:r>
    </w:p>
    <w:p>
      <w:pPr>
        <w:spacing w:after="0" w:line="128" w:lineRule="exact"/>
        <w:rPr>
          <w:rFonts w:ascii="Times New Roman" w:cs="Times New Roman" w:eastAsia="Times New Roman" w:hAnsi="Times New Roman"/>
          <w:sz w:val="16"/>
          <w:szCs w:val="16"/>
          <w:color w:val="auto"/>
        </w:rPr>
      </w:pPr>
    </w:p>
    <w:p>
      <w:pPr>
        <w:jc w:val="both"/>
        <w:ind w:firstLine="503"/>
        <w:spacing w:after="0" w:line="248" w:lineRule="auto"/>
        <w:tabs>
          <w:tab w:leader="none" w:pos="1011"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its obligations hereunder and its interest in the Advances have been assigned pursuant to one or more Assignments and Acceptances, if the Administrative Agent is also a Lender, the Administrative Agent shall have the same rights and powers under this Agreement as any other Lender and may exercise the same as though it were not the Administrative Agent, respectively. The Lenders and their respective Affiliates may accept deposits from, lend money to, act as trustee under indentures of, and generally engage in any kind of business with, the Borrower, or any Affiliate of the Borrower and any Person who may do business with or own securities of the Borrower or any Affiliate of the Borrower, all as if they were not serving in such capacities hereunder and without any duty to account therefor to each other.</w:t>
      </w:r>
    </w:p>
    <w:p>
      <w:pPr>
        <w:spacing w:after="0" w:line="112" w:lineRule="exact"/>
        <w:rPr>
          <w:rFonts w:ascii="Times New Roman" w:cs="Times New Roman" w:eastAsia="Times New Roman" w:hAnsi="Times New Roman"/>
          <w:sz w:val="14"/>
          <w:szCs w:val="14"/>
          <w:color w:val="auto"/>
        </w:rPr>
      </w:pPr>
    </w:p>
    <w:p>
      <w:pPr>
        <w:jc w:val="both"/>
        <w:ind w:firstLine="503"/>
        <w:spacing w:after="0" w:line="252" w:lineRule="auto"/>
        <w:tabs>
          <w:tab w:leader="none" w:pos="101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any Lender, the Borrower hereby agrees to execute notes in the principal amount of such Class A Lender’s Class A Percentage of the Class A Advances or such Class B Lender’s Class B Percentage of the Class B Advances, as applicable, and such note shall (i) be payable to order of such Lender, (ii) be dated as of the effective date specified in the Assignment and Acceptance (or, if later, the date that such Lender became a Lender hereunder), and (iii) mature on the Final Maturity Date. Such note shall provide that it evidences a portion of the existing Obligations hereunder and not any new or additional indebtedness of the Borrower.</w:t>
      </w:r>
    </w:p>
    <w:p>
      <w:pPr>
        <w:spacing w:after="0" w:line="119" w:lineRule="exact"/>
        <w:rPr>
          <w:rFonts w:ascii="Times New Roman" w:cs="Times New Roman" w:eastAsia="Times New Roman" w:hAnsi="Times New Roman"/>
          <w:sz w:val="14"/>
          <w:szCs w:val="14"/>
          <w:color w:val="auto"/>
        </w:rPr>
      </w:pPr>
    </w:p>
    <w:p>
      <w:pPr>
        <w:jc w:val="both"/>
        <w:ind w:firstLine="503"/>
        <w:spacing w:after="0" w:line="212" w:lineRule="auto"/>
        <w:tabs>
          <w:tab w:leader="none" w:pos="100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principal amounts (and stated interest) of the Advances owing to, each Lender pursuant to the terms hereof from time to time (the “</w:t>
      </w:r>
      <w:r>
        <w:rPr>
          <w:rFonts w:ascii="Times New Roman" w:cs="Times New Roman" w:eastAsia="Times New Roman" w:hAnsi="Times New Roman"/>
          <w:sz w:val="16"/>
          <w:szCs w:val="16"/>
          <w:i w:val="1"/>
          <w:iCs w:val="1"/>
          <w:color w:val="auto"/>
        </w:rPr>
        <w:t>Register</w:t>
      </w:r>
      <w:r>
        <w:rPr>
          <w:rFonts w:ascii="Times New Roman" w:cs="Times New Roman" w:eastAsia="Times New Roman" w:hAnsi="Times New Roman"/>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made available by the Administrative Agent for inspection by the Borrower and any Lender, at any reasonable time and from time to time, upon reasonable prior written request to the Administrative Agent.</w:t>
      </w:r>
    </w:p>
    <w:p>
      <w:pPr>
        <w:spacing w:after="0" w:line="128" w:lineRule="exact"/>
        <w:rPr>
          <w:rFonts w:ascii="Times New Roman" w:cs="Times New Roman" w:eastAsia="Times New Roman" w:hAnsi="Times New Roman"/>
          <w:sz w:val="16"/>
          <w:szCs w:val="16"/>
          <w:color w:val="auto"/>
        </w:rPr>
      </w:pPr>
    </w:p>
    <w:p>
      <w:pPr>
        <w:jc w:val="both"/>
        <w:ind w:firstLine="503"/>
        <w:spacing w:after="0" w:line="221" w:lineRule="auto"/>
        <w:tabs>
          <w:tab w:leader="none" w:pos="100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may at any time sell participations to any Person (other than (x) a natural Person (or a holding company, investment vehicle or trust for, or owned and operated for the primary benefit of, a natural Person), (y) the Borrower or any of the Borrower’s Affiliates or (z) a Disqualified Assignee (each, a “</w:t>
      </w:r>
      <w:r>
        <w:rPr>
          <w:rFonts w:ascii="Times New Roman" w:cs="Times New Roman" w:eastAsia="Times New Roman" w:hAnsi="Times New Roman"/>
          <w:sz w:val="16"/>
          <w:szCs w:val="16"/>
          <w:i w:val="1"/>
          <w:iCs w:val="1"/>
          <w:color w:val="auto"/>
        </w:rPr>
        <w:t>Participant</w:t>
      </w:r>
      <w:r>
        <w:rPr>
          <w:rFonts w:ascii="Times New Roman" w:cs="Times New Roman" w:eastAsia="Times New Roman" w:hAnsi="Times New Roman"/>
          <w:sz w:val="16"/>
          <w:szCs w:val="16"/>
          <w:color w:val="auto"/>
        </w:rPr>
        <w:t>”) in all or a portion of such Lender’s rights or obligations under this Agreement (including all or a portion of the Advances owing to it));</w:t>
      </w:r>
    </w:p>
    <w:p>
      <w:pPr>
        <w:sectPr>
          <w:pgSz w:w="11900" w:h="16838" w:orient="portrait"/>
          <w:cols w:equalWidth="0" w:num="1">
            <w:col w:w="10760"/>
          </w:cols>
          <w:pgMar w:left="820" w:top="1128" w:right="3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any such participation shall be subject to the prior written consent of the Administrative Agent (such consent not to be unreasonably withheld, conditioned or</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 xml:space="preserve">delayed) other than with respect to a participation made (i) following the occurrence and during the continuance of an Event of Default or (ii) from a Lender to one or more of its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further that (i) such Lender’s obligations under this Agreement shall remain unchanged, (ii) such Lender shall remain solely responsible to the</w:t>
      </w:r>
    </w:p>
    <w:p>
      <w:pPr>
        <w:spacing w:after="0" w:line="237" w:lineRule="auto"/>
        <w:rPr>
          <w:sz w:val="20"/>
          <w:szCs w:val="20"/>
          <w:color w:val="auto"/>
        </w:rPr>
      </w:pPr>
      <w:r>
        <w:rPr>
          <w:rFonts w:ascii="Times New Roman" w:cs="Times New Roman" w:eastAsia="Times New Roman" w:hAnsi="Times New Roman"/>
          <w:sz w:val="14"/>
          <w:szCs w:val="14"/>
          <w:color w:val="auto"/>
        </w:rPr>
        <w:t>other parties hereto for the performance of such obligations, and (iii) the Borrower, the Administrative Agent and Lenders shall continue to deal solely and directly with</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such Lender in connection with such Lender’s rights and obligations under this Agreement. For the avoidance of doubt, each Lender shall be responsible for the payments made under Section 2.09 with respect to any payments made by such Lender to its Participant(s).</w:t>
      </w:r>
    </w:p>
    <w:p>
      <w:pPr>
        <w:spacing w:after="0" w:line="127" w:lineRule="exact"/>
        <w:rPr>
          <w:sz w:val="20"/>
          <w:szCs w:val="20"/>
          <w:color w:val="auto"/>
        </w:rPr>
      </w:pPr>
    </w:p>
    <w:p>
      <w:pPr>
        <w:jc w:val="both"/>
        <w:ind w:firstLine="503"/>
        <w:spacing w:after="0"/>
        <w:tabs>
          <w:tab w:leader="none" w:pos="1017"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Fundamental Amendment that affects such Participant. The Borrower agrees that each Participant shall be entitled to the benefits of Sections 2.09, 12.03 and 12.04 (subject to the requirements and limitations therein) to the same extent as if it were a Lender and had acquired its interest by assignment pursuant to paragraph (b) of this Section; provided that such Participant shall not be entitled to receive any greater payment under Section 2.09 or 12.03, with respect to any participation, than its participating Lender would have been entitled to receive. Each Lender that sells a participation shall, acting solely for this purpose as a non fiduciary agent of the Borrower, maintain a register on which it enters the name and address of each Participant and the principal amounts (and stated interest) of each Participant’s interest in the Advances or other obligations under the Facility Documents (the “</w:t>
      </w:r>
      <w:r>
        <w:rPr>
          <w:rFonts w:ascii="Times New Roman" w:cs="Times New Roman" w:eastAsia="Times New Roman" w:hAnsi="Times New Roman"/>
          <w:sz w:val="14"/>
          <w:szCs w:val="14"/>
          <w:i w:val="1"/>
          <w:iCs w:val="1"/>
          <w:color w:val="auto"/>
        </w:rPr>
        <w:t>Participant Register</w:t>
      </w:r>
      <w:r>
        <w:rPr>
          <w:rFonts w:ascii="Times New Roman" w:cs="Times New Roman" w:eastAsia="Times New Roman" w:hAnsi="Times New Roman"/>
          <w:sz w:val="14"/>
          <w:szCs w:val="14"/>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Facility Document) to any Person except to the extent that such disclosure is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51" w:lineRule="exact"/>
        <w:rPr>
          <w:rFonts w:ascii="Times New Roman" w:cs="Times New Roman" w:eastAsia="Times New Roman" w:hAnsi="Times New Roman"/>
          <w:sz w:val="14"/>
          <w:szCs w:val="14"/>
          <w:color w:val="auto"/>
        </w:rPr>
      </w:pPr>
    </w:p>
    <w:p>
      <w:pPr>
        <w:jc w:val="both"/>
        <w:ind w:firstLine="503"/>
        <w:spacing w:after="0" w:line="216" w:lineRule="auto"/>
        <w:tabs>
          <w:tab w:leader="none" w:pos="1017"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 other provision set forth in this Agreement, any Lender may at any time create a security interest in all or any portion of its rights under this Agreement or in the Collateral pledged to it thereunder (including, without limitation, amounts owing or assets pledged to it), including, without limitation, to any Federal Reserve Bank as a secured party in accordance with Regulation A of the Board of Governors of the Federal Reserve System, and any transfer restrictions under this </w:t>
      </w:r>
      <w:r>
        <w:rPr>
          <w:rFonts w:ascii="Times New Roman" w:cs="Times New Roman" w:eastAsia="Times New Roman" w:hAnsi="Times New Roman"/>
          <w:sz w:val="16"/>
          <w:szCs w:val="16"/>
          <w:u w:val="single" w:color="auto"/>
          <w:color w:val="auto"/>
        </w:rPr>
        <w:t>Section 13.02</w:t>
      </w:r>
      <w:r>
        <w:rPr>
          <w:rFonts w:ascii="Times New Roman" w:cs="Times New Roman" w:eastAsia="Times New Roman" w:hAnsi="Times New Roman"/>
          <w:sz w:val="16"/>
          <w:szCs w:val="16"/>
          <w:color w:val="auto"/>
        </w:rPr>
        <w:t xml:space="preserve"> shall not apply to any Federal Reserve Bank as the secured party in connection with any such security interest; provided that no such security interest or the exercise by the secured party of any of its rights thereunder shall release such Lender from its funding obligations hereunder.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448.03 Cooperation in Syndication.</w:t>
      </w:r>
    </w:p>
    <w:p>
      <w:pPr>
        <w:spacing w:after="0" w:line="147" w:lineRule="exact"/>
        <w:rPr>
          <w:sz w:val="20"/>
          <w:szCs w:val="20"/>
          <w:color w:val="auto"/>
        </w:rPr>
      </w:pPr>
    </w:p>
    <w:p>
      <w:pPr>
        <w:jc w:val="both"/>
        <w:ind w:firstLine="503"/>
        <w:spacing w:after="0" w:line="216" w:lineRule="auto"/>
        <w:tabs>
          <w:tab w:leader="none" w:pos="1011"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use commercially reasonable efforts to assist the Lenders and the Administrative Agent in completing a Syndication, provided (i) the efforts requested of the Borrower and/or Navan in connection with such Syndication are not unreasonably burdensome or disruptive to the business of the Borrower or Navan and (ii) the applicable Lender shall reimburse the Borrower and/or Navan for any material out-of-pocket costs incurred by the Borrower and/or Navan in connection therewith (such costs and expenses not to exceed $10,000. Subject to the conditions described in the immediately preceding sentence, such assistance will include all actions reasonably requested by the Administrative Agent, including, without limitation: (i)</w:t>
      </w:r>
    </w:p>
    <w:p>
      <w:pPr>
        <w:sectPr>
          <w:pgSz w:w="11900" w:h="16838" w:orient="portrait"/>
          <w:cols w:equalWidth="0" w:num="1">
            <w:col w:w="10760"/>
          </w:cols>
          <w:pgMar w:left="820" w:top="1126" w:right="319" w:bottom="1440" w:gutter="0" w:footer="0" w:header="0"/>
        </w:sectPr>
      </w:pPr>
    </w:p>
    <w:bookmarkStart w:id="318" w:name="page319"/>
    <w:bookmarkEnd w:id="318"/>
    <w:p>
      <w:pPr>
        <w:ind w:left="6"/>
        <w:spacing w:after="0"/>
        <w:rPr>
          <w:sz w:val="20"/>
          <w:szCs w:val="20"/>
          <w:color w:val="auto"/>
        </w:rPr>
      </w:pPr>
      <w:r>
        <w:rPr>
          <w:rFonts w:ascii="Times New Roman" w:cs="Times New Roman" w:eastAsia="Times New Roman" w:hAnsi="Times New Roman"/>
          <w:sz w:val="14"/>
          <w:szCs w:val="14"/>
          <w:color w:val="auto"/>
        </w:rPr>
        <w:t>engaging, upon the request of the Administrative Agent or any proposed Lender, in discussions between senior management and advisors of the Borrower and the proposed</w:t>
      </w:r>
    </w:p>
    <w:p>
      <w:pPr>
        <w:spacing w:after="0" w:line="16" w:lineRule="exact"/>
        <w:rPr>
          <w:sz w:val="20"/>
          <w:szCs w:val="20"/>
          <w:color w:val="auto"/>
        </w:rPr>
      </w:pPr>
    </w:p>
    <w:p>
      <w:pPr>
        <w:ind w:left="6"/>
        <w:spacing w:after="0" w:line="229" w:lineRule="auto"/>
        <w:rPr>
          <w:sz w:val="20"/>
          <w:szCs w:val="20"/>
          <w:color w:val="auto"/>
        </w:rPr>
      </w:pPr>
      <w:r>
        <w:rPr>
          <w:rFonts w:ascii="Times New Roman" w:cs="Times New Roman" w:eastAsia="Times New Roman" w:hAnsi="Times New Roman"/>
          <w:sz w:val="14"/>
          <w:szCs w:val="14"/>
          <w:color w:val="auto"/>
        </w:rPr>
        <w:t>Lenders, (ii) assistance in the preparation of a confidential information memorandum and other marketing materials to be used in connection with the Syndication, (iii) the hosting, with the Lenders and the Administrative Agent, of one or more diligence and management meetings with prospective Lenders or with the credit rating agencies, and</w:t>
      </w:r>
    </w:p>
    <w:p>
      <w:pPr>
        <w:ind w:left="266" w:hanging="266"/>
        <w:spacing w:after="0"/>
        <w:tabs>
          <w:tab w:leader="none" w:pos="266"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with the Lenders and the Administrative Agent to procure a rating for the Advances by the credit rating agencies.).</w:t>
      </w:r>
    </w:p>
    <w:p>
      <w:pPr>
        <w:spacing w:after="0" w:line="126" w:lineRule="exact"/>
        <w:rPr>
          <w:rFonts w:ascii="Times New Roman" w:cs="Times New Roman" w:eastAsia="Times New Roman" w:hAnsi="Times New Roman"/>
          <w:sz w:val="16"/>
          <w:szCs w:val="16"/>
          <w:color w:val="auto"/>
        </w:rPr>
      </w:pPr>
    </w:p>
    <w:p>
      <w:pPr>
        <w:jc w:val="both"/>
        <w:ind w:left="6" w:firstLine="503"/>
        <w:spacing w:after="0"/>
        <w:tabs>
          <w:tab w:leader="none" w:pos="1015"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hereof, including the definition of “Eligible Assignee,” the Lenders and the Administrative Agent shall manage all aspects of any Syndication of the Advances, including decisions as to the selection of institutions to be approached and when they will be approached, when their commitments will be accepted, which institutions will participate, the allocations of the commitments among the Lenders and the amount and distribution of fees among the Lenders. To assist the Lenders and the Administrative Agent in their Syndication efforts, and subject to the conditions described in the first sentence of Section 13.03(a), the Borrower agrees promptly to prepare and provide to the Lenders and the Administrative Agent all information with respect to the Borrower, the Seller and the Servicer contemplated hereby, including all financial information and projections (the “</w:t>
      </w:r>
      <w:r>
        <w:rPr>
          <w:rFonts w:ascii="Times New Roman" w:cs="Times New Roman" w:eastAsia="Times New Roman" w:hAnsi="Times New Roman"/>
          <w:sz w:val="14"/>
          <w:szCs w:val="14"/>
          <w:i w:val="1"/>
          <w:iCs w:val="1"/>
          <w:color w:val="auto"/>
        </w:rPr>
        <w:t>Projections</w:t>
      </w:r>
      <w:r>
        <w:rPr>
          <w:rFonts w:ascii="Times New Roman" w:cs="Times New Roman" w:eastAsia="Times New Roman" w:hAnsi="Times New Roman"/>
          <w:sz w:val="14"/>
          <w:szCs w:val="14"/>
          <w:color w:val="auto"/>
        </w:rPr>
        <w:t>”), as the Lenders and the Administrative Agent may reasonably request in connection with the Syndication of the Advances. The Borrower hereby represents and covenants that (i) all information other than the Projections (the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that has been or will be made available to the Lenders and the Administrative Agent by the Borrower or any of their representatives is or will be, when furnished, complete and correct in all material respects and does not or will not, when furnished, contain any untrue statement of a material fact or omit to state a material fact necessary in order to make the statements contained therein, taken as a whole, not materially misleading in light of the circumstances under which such statements are made and (ii) the Projections that have been or will be made available to the Lenders and the Administrative Agent by the Borrower or any of its representatives have been or will be prepared in good faith based upon reasonable assumptions. The Borrower understands that in arranging and syndicating the Advances, the Administrative Agent, the Lenders and, if applicable, the credit rating agencies, may use and rely on the Information and Projections without independent verification thereof.</w:t>
      </w:r>
    </w:p>
    <w:p>
      <w:pPr>
        <w:spacing w:after="0" w:line="253" w:lineRule="exact"/>
        <w:rPr>
          <w:rFonts w:ascii="Times New Roman" w:cs="Times New Roman" w:eastAsia="Times New Roman" w:hAnsi="Times New Roman"/>
          <w:sz w:val="14"/>
          <w:szCs w:val="14"/>
          <w:color w:val="auto"/>
        </w:rPr>
      </w:pPr>
    </w:p>
    <w:p>
      <w:pPr>
        <w:ind w:left="1006" w:hanging="497"/>
        <w:spacing w:after="0"/>
        <w:tabs>
          <w:tab w:leader="none" w:pos="1006"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conditions described in the first sentence of Section 13.03(a), if required in connection with the Syndication, the Borrower hereby agrees to:</w:t>
      </w:r>
    </w:p>
    <w:p>
      <w:pPr>
        <w:spacing w:after="0" w:line="167" w:lineRule="exact"/>
        <w:rPr>
          <w:rFonts w:ascii="Times New Roman" w:cs="Times New Roman" w:eastAsia="Times New Roman" w:hAnsi="Times New Roman"/>
          <w:sz w:val="14"/>
          <w:szCs w:val="14"/>
          <w:color w:val="auto"/>
        </w:rPr>
      </w:pPr>
    </w:p>
    <w:p>
      <w:pPr>
        <w:ind w:left="506" w:firstLine="513"/>
        <w:spacing w:after="0" w:line="229" w:lineRule="auto"/>
        <w:tabs>
          <w:tab w:leader="none" w:pos="1523"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updated financial and operating statements and other information reasonably required by the Lenders and the Administrative Agent to facilitate the Syndication;</w:t>
      </w:r>
    </w:p>
    <w:p>
      <w:pPr>
        <w:spacing w:after="0" w:line="126" w:lineRule="exact"/>
        <w:rPr>
          <w:rFonts w:ascii="Times New Roman" w:cs="Times New Roman" w:eastAsia="Times New Roman" w:hAnsi="Times New Roman"/>
          <w:sz w:val="16"/>
          <w:szCs w:val="16"/>
          <w:color w:val="auto"/>
        </w:rPr>
      </w:pPr>
    </w:p>
    <w:p>
      <w:pPr>
        <w:ind w:left="506" w:firstLine="513"/>
        <w:spacing w:after="0" w:line="235" w:lineRule="auto"/>
        <w:tabs>
          <w:tab w:leader="none" w:pos="1523"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reliance letters reasonably satisfactory to the Lenders and the Administrative Agent with respect to any legal opinions delivered to the Lenders and the Administrative Agent, which will run to the Lender and their respective successors and assigns; and</w:t>
      </w:r>
    </w:p>
    <w:p>
      <w:pPr>
        <w:spacing w:after="0" w:line="115" w:lineRule="exact"/>
        <w:rPr>
          <w:rFonts w:ascii="Times New Roman" w:cs="Times New Roman" w:eastAsia="Times New Roman" w:hAnsi="Times New Roman"/>
          <w:sz w:val="16"/>
          <w:szCs w:val="16"/>
          <w:color w:val="auto"/>
        </w:rPr>
      </w:pPr>
    </w:p>
    <w:p>
      <w:pPr>
        <w:jc w:val="both"/>
        <w:ind w:left="506" w:firstLine="513"/>
        <w:spacing w:after="0" w:line="216" w:lineRule="auto"/>
        <w:tabs>
          <w:tab w:leader="none" w:pos="1524"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execute any amendment or modification to the Facility Documents required by the Lenders;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unless otherwise agreed to by the Borrower, the Borrower shall not be obligated to enter into any such amendment or modification if the effect of such amendment or modification is to (A) materially increase the duties or obligations of the Borrower under this Agreement or the Facility Documents or (B) make any material term or provision (other than terms or provisions relating to the requisite percentage of Lenders or certain classes of Lenders required to consent to amendments, waivers or consents or to give instructions to the Administrative Agent under this Agreement and the other Facility Documents) less favorable to the Borrower.</w:t>
      </w:r>
    </w:p>
    <w:p>
      <w:pPr>
        <w:spacing w:after="0" w:line="128" w:lineRule="exact"/>
        <w:rPr>
          <w:rFonts w:ascii="Times New Roman" w:cs="Times New Roman" w:eastAsia="Times New Roman" w:hAnsi="Times New Roman"/>
          <w:sz w:val="16"/>
          <w:szCs w:val="16"/>
          <w:color w:val="auto"/>
        </w:rPr>
      </w:pPr>
    </w:p>
    <w:p>
      <w:pPr>
        <w:jc w:val="both"/>
        <w:ind w:left="6" w:firstLine="503"/>
        <w:spacing w:after="0" w:line="221" w:lineRule="auto"/>
        <w:tabs>
          <w:tab w:leader="none" w:pos="1015"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if the Lenders and the Administrative Agent notify the Borrower in writing that they have elected, in their respective individual sole discretion, prior to or in connection with a Syndication, to split the Advances (or any note evidencing the Advances) into two or more tranches or sub-tranches having different advance</w:t>
      </w:r>
    </w:p>
    <w:p>
      <w:pPr>
        <w:sectPr>
          <w:pgSz w:w="11900" w:h="16838" w:orient="portrait"/>
          <w:cols w:equalWidth="0" w:num="1">
            <w:col w:w="10766"/>
          </w:cols>
          <w:pgMar w:left="814" w:top="1129" w:right="3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6"/>
          <w:szCs w:val="16"/>
          <w:color w:val="auto"/>
        </w:rPr>
        <w:t>rates, interest rates, principal amounts, payment priorities and maturities, the Borrower will (i) cooperate with Lenders and the Administrative Agent to implement the</w:t>
      </w:r>
    </w:p>
    <w:p>
      <w:pPr>
        <w:spacing w:after="0" w:line="229" w:lineRule="auto"/>
        <w:rPr>
          <w:sz w:val="20"/>
          <w:szCs w:val="20"/>
          <w:color w:val="auto"/>
        </w:rPr>
      </w:pPr>
      <w:r>
        <w:rPr>
          <w:rFonts w:ascii="Times New Roman" w:cs="Times New Roman" w:eastAsia="Times New Roman" w:hAnsi="Times New Roman"/>
          <w:sz w:val="14"/>
          <w:szCs w:val="14"/>
          <w:color w:val="auto"/>
        </w:rPr>
        <w:t>foregoing, (ii) execute any amendments or modifications to this Agreement, any note or any other Facility Documents requested by the Lenders or the Administrative Agent to effectuate the same and (iii) deliver customary certificates, legal opinions and other closing deliveries reasonably requested by the Administrative Agent in connection</w:t>
      </w:r>
    </w:p>
    <w:p>
      <w:pPr>
        <w:spacing w:after="0" w:line="208" w:lineRule="auto"/>
        <w:rPr>
          <w:sz w:val="20"/>
          <w:szCs w:val="20"/>
          <w:color w:val="auto"/>
        </w:rPr>
      </w:pPr>
      <w:r>
        <w:rPr>
          <w:rFonts w:ascii="Times New Roman" w:cs="Times New Roman" w:eastAsia="Times New Roman" w:hAnsi="Times New Roman"/>
          <w:sz w:val="16"/>
          <w:szCs w:val="16"/>
          <w:color w:val="auto"/>
        </w:rPr>
        <w:t xml:space="preserve">therewith;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any such tranches or sub-tranches may, without the consent of the Borrower, have different (A) advance rates, if the weighted average of such</w:t>
      </w:r>
    </w:p>
    <w:p>
      <w:pPr>
        <w:spacing w:after="0" w:line="229" w:lineRule="auto"/>
        <w:rPr>
          <w:sz w:val="20"/>
          <w:szCs w:val="20"/>
          <w:color w:val="auto"/>
        </w:rPr>
      </w:pPr>
      <w:r>
        <w:rPr>
          <w:rFonts w:ascii="Times New Roman" w:cs="Times New Roman" w:eastAsia="Times New Roman" w:hAnsi="Times New Roman"/>
          <w:sz w:val="14"/>
          <w:szCs w:val="14"/>
          <w:color w:val="auto"/>
        </w:rPr>
        <w:t>advance rates is not less than the percentages specified in the definitions of “WA Class A Advance Rate” and “WA Class B Advance Rate” and (B) interest rates, if the weighted average of such interest rates does not exceed, during any period specified in clause (a), (b) or (c) of the definitions of “Class A Interest Rate” or “Class B Interest</w:t>
      </w:r>
    </w:p>
    <w:p>
      <w:pPr>
        <w:spacing w:after="0"/>
        <w:rPr>
          <w:sz w:val="20"/>
          <w:szCs w:val="20"/>
          <w:color w:val="auto"/>
        </w:rPr>
      </w:pPr>
      <w:r>
        <w:rPr>
          <w:rFonts w:ascii="Times New Roman" w:cs="Times New Roman" w:eastAsia="Times New Roman" w:hAnsi="Times New Roman"/>
          <w:sz w:val="16"/>
          <w:szCs w:val="16"/>
          <w:color w:val="auto"/>
        </w:rPr>
        <w:t>Rate,” the rates specified in such clauses (a), (b) or (c) applicable to such period.</w:t>
      </w:r>
    </w:p>
    <w:p>
      <w:pPr>
        <w:spacing w:after="0" w:line="1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Pages Follow</w:t>
      </w:r>
    </w:p>
    <w:p>
      <w:pPr>
        <w:sectPr>
          <w:pgSz w:w="11900" w:h="16838" w:orient="portrait"/>
          <w:cols w:equalWidth="0" w:num="1">
            <w:col w:w="10760"/>
          </w:cols>
          <w:pgMar w:left="820" w:top="1121" w:right="319" w:bottom="1440" w:gutter="0" w:footer="0" w:header="0"/>
        </w:sectPr>
      </w:pPr>
    </w:p>
    <w:bookmarkStart w:id="320" w:name="page321"/>
    <w:bookmarkEnd w:id="320"/>
    <w:p>
      <w:pPr>
        <w:ind w:firstLine="509"/>
        <w:spacing w:after="0" w:line="293" w:lineRule="auto"/>
        <w:rPr>
          <w:sz w:val="20"/>
          <w:szCs w:val="20"/>
          <w:color w:val="auto"/>
        </w:rPr>
      </w:pPr>
      <w:r>
        <w:rPr>
          <w:rFonts w:ascii="Times New Roman" w:cs="Times New Roman" w:eastAsia="Times New Roman" w:hAnsi="Times New Roman"/>
          <w:sz w:val="17"/>
          <w:szCs w:val="17"/>
          <w:color w:val="auto"/>
        </w:rPr>
        <w:t xml:space="preserve">ARTICLE 449. </w:t>
      </w:r>
      <w:r>
        <w:rPr>
          <w:rFonts w:ascii="Times New Roman" w:cs="Times New Roman" w:eastAsia="Times New Roman" w:hAnsi="Times New Roman"/>
          <w:sz w:val="15"/>
          <w:szCs w:val="15"/>
          <w:color w:val="auto"/>
        </w:rPr>
        <w:t>IN WITNESS WHEREOF, the parties hereto have caused this Agreement to be executed by their respective officers thereunto duly authorized, as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date first above written.</w:t>
      </w:r>
    </w:p>
    <w:p>
      <w:pPr>
        <w:spacing w:after="0" w:line="1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LIQUID LABS SPV, LLC,</w:t>
      </w:r>
    </w:p>
    <w:p>
      <w:pPr>
        <w:spacing w:after="0" w:line="1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as Borrower</w:t>
      </w:r>
    </w:p>
    <w:p>
      <w:pPr>
        <w:spacing w:after="0" w:line="36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By: /s/ Thomas Tuchscherer___________________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190817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1908175" cy="6985"/>
                    </a:xfrm>
                    <a:prstGeom prst="rect">
                      <a:avLst/>
                    </a:prstGeom>
                    <a:noFill/>
                  </pic:spPr>
                </pic:pic>
              </a:graphicData>
            </a:graphic>
          </wp:anchor>
        </w:drawing>
      </w:r>
    </w:p>
    <w:p>
      <w:pPr>
        <w:ind w:left="3060"/>
        <w:spacing w:after="0"/>
        <w:rPr>
          <w:sz w:val="20"/>
          <w:szCs w:val="20"/>
          <w:color w:val="auto"/>
        </w:rPr>
      </w:pPr>
      <w:r>
        <w:rPr>
          <w:rFonts w:ascii="Times New Roman" w:cs="Times New Roman" w:eastAsia="Times New Roman" w:hAnsi="Times New Roman"/>
          <w:sz w:val="16"/>
          <w:szCs w:val="16"/>
          <w:color w:val="auto"/>
        </w:rPr>
        <w:t>Name: Thomas Tuchscherer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i w:val="1"/>
          <w:iCs w:val="1"/>
          <w:color w:val="auto"/>
        </w:rPr>
        <w:t>Signature Page to Revolving Credit and Security Agreement</w:t>
      </w:r>
    </w:p>
    <w:p>
      <w:pPr>
        <w:sectPr>
          <w:pgSz w:w="11900" w:h="16838" w:orient="portrait"/>
          <w:cols w:equalWidth="0" w:num="1">
            <w:col w:w="11280"/>
          </w:cols>
          <w:pgMar w:left="300" w:top="1148" w:right="319" w:bottom="1440" w:gutter="0" w:footer="0" w:header="0"/>
        </w:sectPr>
      </w:pPr>
    </w:p>
    <w:bookmarkStart w:id="321" w:name="page322"/>
    <w:bookmarkEnd w:id="321"/>
    <w:p>
      <w:pPr>
        <w:ind w:left="1920"/>
        <w:spacing w:after="0"/>
        <w:rPr>
          <w:sz w:val="20"/>
          <w:szCs w:val="20"/>
          <w:color w:val="auto"/>
        </w:rPr>
      </w:pPr>
      <w:r>
        <w:rPr>
          <w:rFonts w:ascii="Times New Roman" w:cs="Times New Roman" w:eastAsia="Times New Roman" w:hAnsi="Times New Roman"/>
          <w:sz w:val="16"/>
          <w:szCs w:val="16"/>
          <w:color w:val="auto"/>
        </w:rPr>
        <w:t>GOLDMAN SACHS BANK USA,</w:t>
      </w:r>
    </w:p>
    <w:p>
      <w:pPr>
        <w:spacing w:after="0" w:line="1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as Administrative Agent and as a Class A Lender</w:t>
      </w:r>
    </w:p>
    <w:p>
      <w:pPr>
        <w:spacing w:after="0" w:line="36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Benjamin Case _____________________</w:t>
      </w:r>
    </w:p>
    <w:p>
      <w:pPr>
        <w:spacing w:after="0" w:line="1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Name: Benjamin Case</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i w:val="1"/>
          <w:iCs w:val="1"/>
          <w:color w:val="auto"/>
        </w:rPr>
        <w:t>Signature Page to Revolving Credit and Security Agreement</w:t>
      </w:r>
    </w:p>
    <w:p>
      <w:pPr>
        <w:sectPr>
          <w:pgSz w:w="11900" w:h="16838" w:orient="portrait"/>
          <w:cols w:equalWidth="0" w:num="1">
            <w:col w:w="10140"/>
          </w:cols>
          <w:pgMar w:left="1440" w:top="1139" w:right="319" w:bottom="1440" w:gutter="0" w:footer="0" w:header="0"/>
        </w:sectPr>
      </w:pPr>
    </w:p>
    <w:bookmarkStart w:id="322" w:name="page323"/>
    <w:bookmarkEnd w:id="322"/>
    <w:p>
      <w:pPr>
        <w:ind w:left="1920"/>
        <w:spacing w:after="0"/>
        <w:rPr>
          <w:sz w:val="20"/>
          <w:szCs w:val="20"/>
          <w:color w:val="auto"/>
        </w:rPr>
      </w:pPr>
      <w:r>
        <w:rPr>
          <w:rFonts w:ascii="Times New Roman" w:cs="Times New Roman" w:eastAsia="Times New Roman" w:hAnsi="Times New Roman"/>
          <w:sz w:val="16"/>
          <w:szCs w:val="16"/>
          <w:color w:val="auto"/>
        </w:rPr>
        <w:t>POWERSCOURT INVESTMENTS 37, LP,</w:t>
      </w:r>
    </w:p>
    <w:p>
      <w:pPr>
        <w:spacing w:after="0" w:line="2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as Class B Representative and a Class B Lender</w:t>
      </w:r>
    </w:p>
    <w:p>
      <w:pPr>
        <w:spacing w:after="0" w:line="20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By: Powerscourt Investments GP, LLC</w:t>
      </w:r>
    </w:p>
    <w:p>
      <w:pPr>
        <w:spacing w:after="0" w:line="1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By: Maples Fiduciary Services (Delaware) Inc.,</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its Managing Member</w:t>
      </w:r>
    </w:p>
    <w:p>
      <w:pPr>
        <w:spacing w:after="0" w:line="18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By: /s/ Scott Huff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-10160</wp:posOffset>
            </wp:positionV>
            <wp:extent cx="176466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1764665" cy="6985"/>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6"/>
          <w:szCs w:val="16"/>
          <w:color w:val="auto"/>
        </w:rPr>
        <w:t>Name: Scott Huff</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i w:val="1"/>
          <w:iCs w:val="1"/>
          <w:color w:val="auto"/>
        </w:rPr>
        <w:t>Signature Page to Revolving Credit and Security Agreement</w:t>
      </w:r>
    </w:p>
    <w:p>
      <w:pPr>
        <w:sectPr>
          <w:pgSz w:w="11900" w:h="16838" w:orient="portrait"/>
          <w:cols w:equalWidth="0" w:num="1">
            <w:col w:w="10140"/>
          </w:cols>
          <w:pgMar w:left="1440" w:top="1329" w:right="31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March 3,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Navan, Inc., together with each of its subsidiary companies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us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our</w:t>
      </w:r>
      <w:r>
        <w:rPr>
          <w:rFonts w:ascii="Times New Roman" w:cs="Times New Roman" w:eastAsia="Times New Roman" w:hAnsi="Times New Roman"/>
          <w:sz w:val="16"/>
          <w:szCs w:val="16"/>
          <w:color w:val="auto"/>
        </w:rPr>
        <w:t>”), is committed to promoting high standards of honest and ethical business conduct and compliance with laws, rules, and regulations. Because stock is an important part of the Company’s compensation program, our Board of Directors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has adopted this Insider Trading Policy (“</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governing the purchase, sale, and other dispositions of the Company’s securities by the individuals and entities covered by this policy to promote compliance with insider trading laws, rules, and regulations, as well as applicable stock exchange listing standards.</w:t>
      </w:r>
    </w:p>
    <w:p>
      <w:pPr>
        <w:spacing w:after="0" w:line="1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Insider trading happens when someone who is in possession of material nonpublic information (“</w:t>
      </w:r>
      <w:r>
        <w:rPr>
          <w:rFonts w:ascii="Times New Roman" w:cs="Times New Roman" w:eastAsia="Times New Roman" w:hAnsi="Times New Roman"/>
          <w:sz w:val="16"/>
          <w:szCs w:val="16"/>
          <w:b w:val="1"/>
          <w:bCs w:val="1"/>
          <w:i w:val="1"/>
          <w:iCs w:val="1"/>
          <w:color w:val="auto"/>
        </w:rPr>
        <w:t>MNPI</w:t>
      </w:r>
      <w:r>
        <w:rPr>
          <w:rFonts w:ascii="Times New Roman" w:cs="Times New Roman" w:eastAsia="Times New Roman" w:hAnsi="Times New Roman"/>
          <w:sz w:val="16"/>
          <w:szCs w:val="16"/>
          <w:color w:val="auto"/>
        </w:rPr>
        <w:t>”) trades securities on the basis of that information or discloses MNPI to someone else who trades on the basis of that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are considering trading our stock or other securities, please keep these three key points in mind:</w:t>
      </w:r>
    </w:p>
    <w:p>
      <w:pPr>
        <w:spacing w:after="0" w:line="177" w:lineRule="exact"/>
        <w:rPr>
          <w:sz w:val="20"/>
          <w:szCs w:val="20"/>
          <w:color w:val="auto"/>
        </w:rPr>
      </w:pPr>
    </w:p>
    <w:p>
      <w:pPr>
        <w:ind w:left="520" w:hanging="260"/>
        <w:spacing w:after="0"/>
        <w:tabs>
          <w:tab w:leader="none" w:pos="520" w:val="left"/>
        </w:tabs>
        <w:numPr>
          <w:ilvl w:val="0"/>
          <w:numId w:val="183"/>
        </w:numPr>
        <w:rPr>
          <w:rFonts w:ascii="Arial" w:cs="Arial" w:eastAsia="Arial" w:hAnsi="Arial"/>
          <w:sz w:val="16"/>
          <w:szCs w:val="16"/>
          <w:color w:val="auto"/>
        </w:rPr>
      </w:pPr>
      <w:r>
        <w:rPr>
          <w:rFonts w:ascii="Times New Roman" w:cs="Times New Roman" w:eastAsia="Times New Roman" w:hAnsi="Times New Roman"/>
          <w:sz w:val="16"/>
          <w:szCs w:val="16"/>
          <w:color w:val="auto"/>
        </w:rPr>
        <w:t>Never buy or sell our securities when in possession of MNPI;</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3"/>
        </w:numPr>
        <w:rPr>
          <w:rFonts w:ascii="Arial" w:cs="Arial" w:eastAsia="Arial" w:hAnsi="Arial"/>
          <w:sz w:val="16"/>
          <w:szCs w:val="16"/>
          <w:color w:val="auto"/>
        </w:rPr>
      </w:pPr>
      <w:r>
        <w:rPr>
          <w:rFonts w:ascii="Times New Roman" w:cs="Times New Roman" w:eastAsia="Times New Roman" w:hAnsi="Times New Roman"/>
          <w:sz w:val="16"/>
          <w:szCs w:val="16"/>
          <w:color w:val="auto"/>
        </w:rPr>
        <w:t>Keep all MNPI confidential, including from your family and friends; and</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3"/>
        </w:numPr>
        <w:rPr>
          <w:rFonts w:ascii="Arial" w:cs="Arial" w:eastAsia="Arial" w:hAnsi="Arial"/>
          <w:sz w:val="16"/>
          <w:szCs w:val="16"/>
          <w:color w:val="auto"/>
        </w:rPr>
      </w:pPr>
      <w:r>
        <w:rPr>
          <w:rFonts w:ascii="Times New Roman" w:cs="Times New Roman" w:eastAsia="Times New Roman" w:hAnsi="Times New Roman"/>
          <w:sz w:val="16"/>
          <w:szCs w:val="16"/>
          <w:color w:val="auto"/>
        </w:rPr>
        <w:t>When in doubt about whether you have MNPI, ask before trading.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You are responsible for understanding and following this Policy and for the consequences of any actions you may take. Our General Counsel or their designated representative, or, if no such employee at the Company has that title, the most senior in-house attorney (for purposes of this Policy, the “</w:t>
      </w:r>
      <w:r>
        <w:rPr>
          <w:rFonts w:ascii="Times New Roman" w:cs="Times New Roman" w:eastAsia="Times New Roman" w:hAnsi="Times New Roman"/>
          <w:sz w:val="16"/>
          <w:szCs w:val="16"/>
          <w:b w:val="1"/>
          <w:bCs w:val="1"/>
          <w:i w:val="1"/>
          <w:iCs w:val="1"/>
          <w:color w:val="auto"/>
        </w:rPr>
        <w:t>General Counsel</w:t>
      </w:r>
      <w:r>
        <w:rPr>
          <w:rFonts w:ascii="Times New Roman" w:cs="Times New Roman" w:eastAsia="Times New Roman" w:hAnsi="Times New Roman"/>
          <w:sz w:val="16"/>
          <w:szCs w:val="16"/>
          <w:color w:val="auto"/>
        </w:rPr>
        <w:t>”), will assist with implementing, interpreting, and enforcing this Policy, pre-clearing trading activities of certain people, and pre-approving any 10b5-1 Plans (as discussed more fully later in this Policy).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Persons Covered By This Policy</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This Policy applies to our employees, contractors, consultants, and Board members, as well as to their immediate family members, people sharing their households, and anyone subject to their influence or control. It applies as well to entities such as venture capital funds, partnerships, trusts, and corporations which are associated or affiliated with our employees, contractors, consultants, and Board members; provided, however, that this Policy does not apply to any such entity that engages in the investment of securities in the ordinary course of its business (e.g., an investment fund or partnership) if such entity has established its own insider trading controls and procedures in compliance with applicable securities laws. An “</w:t>
      </w:r>
      <w:r>
        <w:rPr>
          <w:rFonts w:ascii="Times New Roman" w:cs="Times New Roman" w:eastAsia="Times New Roman" w:hAnsi="Times New Roman"/>
          <w:sz w:val="16"/>
          <w:szCs w:val="16"/>
          <w:b w:val="1"/>
          <w:bCs w:val="1"/>
          <w:i w:val="1"/>
          <w:iCs w:val="1"/>
          <w:color w:val="auto"/>
        </w:rPr>
        <w:t>immediate family member</w:t>
      </w:r>
      <w:r>
        <w:rPr>
          <w:rFonts w:ascii="Times New Roman" w:cs="Times New Roman" w:eastAsia="Times New Roman" w:hAnsi="Times New Roman"/>
          <w:sz w:val="16"/>
          <w:szCs w:val="16"/>
          <w:color w:val="auto"/>
        </w:rPr>
        <w:t>” under this Policy means any child, stepchild, parent, stepparent, spouse, domestic partner, sibling, mother-in-law, father-in-law, son-in-law, daughter-in-law, brother-in-law, or sister-in-law of a person security holder, and includes any person (other than a tenant or employee) sharing the household of that person. We will refer to all of these individuals and entities to whom this Policy applies individually as “</w:t>
      </w:r>
      <w:r>
        <w:rPr>
          <w:rFonts w:ascii="Times New Roman" w:cs="Times New Roman" w:eastAsia="Times New Roman" w:hAnsi="Times New Roman"/>
          <w:sz w:val="16"/>
          <w:szCs w:val="16"/>
          <w:b w:val="1"/>
          <w:bCs w:val="1"/>
          <w:i w:val="1"/>
          <w:iCs w:val="1"/>
          <w:color w:val="auto"/>
        </w:rPr>
        <w:t>you</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i w:val="1"/>
          <w:iCs w:val="1"/>
          <w:color w:val="auto"/>
        </w:rPr>
        <w:t>Insider</w:t>
      </w:r>
      <w:r>
        <w:rPr>
          <w:rFonts w:ascii="Times New Roman" w:cs="Times New Roman" w:eastAsia="Times New Roman" w:hAnsi="Times New Roman"/>
          <w:sz w:val="16"/>
          <w:szCs w:val="16"/>
          <w:color w:val="auto"/>
        </w:rPr>
        <w:t>” and collectively as “</w:t>
      </w:r>
      <w:r>
        <w:rPr>
          <w:rFonts w:ascii="Times New Roman" w:cs="Times New Roman" w:eastAsia="Times New Roman" w:hAnsi="Times New Roman"/>
          <w:sz w:val="16"/>
          <w:szCs w:val="16"/>
          <w:b w:val="1"/>
          <w:bCs w:val="1"/>
          <w:i w:val="1"/>
          <w:iCs w:val="1"/>
          <w:color w:val="auto"/>
        </w:rPr>
        <w:t>Insiders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Additional trading restrictions in this Policy apply to our officers (as defined in Rule 16a-1(f)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and directors (together with the officers, the “</w:t>
      </w:r>
      <w:r>
        <w:rPr>
          <w:rFonts w:ascii="Times New Roman" w:cs="Times New Roman" w:eastAsia="Times New Roman" w:hAnsi="Times New Roman"/>
          <w:sz w:val="16"/>
          <w:szCs w:val="16"/>
          <w:b w:val="1"/>
          <w:bCs w:val="1"/>
          <w:i w:val="1"/>
          <w:iCs w:val="1"/>
          <w:color w:val="auto"/>
        </w:rPr>
        <w:t>Section 16 Insiders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7" w:right="319" w:bottom="1440" w:gutter="0" w:footer="0" w:header="0"/>
        </w:sectPr>
      </w:pPr>
    </w:p>
    <w:bookmarkStart w:id="324" w:name="page325"/>
    <w:bookmarkEnd w:id="324"/>
    <w:p>
      <w:pPr>
        <w:spacing w:after="0" w:line="273" w:lineRule="auto"/>
        <w:rPr>
          <w:sz w:val="20"/>
          <w:szCs w:val="20"/>
          <w:color w:val="auto"/>
        </w:rPr>
      </w:pPr>
      <w:r>
        <w:rPr>
          <w:rFonts w:ascii="Times New Roman" w:cs="Times New Roman" w:eastAsia="Times New Roman" w:hAnsi="Times New Roman"/>
          <w:sz w:val="16"/>
          <w:szCs w:val="16"/>
          <w:color w:val="auto"/>
        </w:rPr>
        <w:t>If you are aware of MNPI when your employment or service relationship with the Company ends, you still may not trade our securities until that MNPI has become public or is no longer material.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What This Policy Covers</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primary purpose of this Policy is to prevent people who are in possession of MNPI from trading in our stock or other securities on the basis of that MNPI or disclosing MNPI to someone else who trades on the basis of that information.</w:t>
      </w:r>
    </w:p>
    <w:p>
      <w:pPr>
        <w:spacing w:after="0" w:line="14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Material information</w:t>
      </w:r>
      <w:r>
        <w:rPr>
          <w:rFonts w:ascii="Times New Roman" w:cs="Times New Roman" w:eastAsia="Times New Roman" w:hAnsi="Times New Roman"/>
          <w:sz w:val="16"/>
          <w:szCs w:val="16"/>
          <w:color w:val="auto"/>
        </w:rPr>
        <w:t>” is information about the Company, positive or negative, that a reasonable stockholder would consider important in making a decision to purchase or sell the Company’s securities. Material information can be positive or negative and can relate to virtually any aspect of the Company’s business or its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Examples of material information may include:</w:t>
      </w:r>
    </w:p>
    <w:p>
      <w:pPr>
        <w:spacing w:after="0" w:line="198" w:lineRule="exact"/>
        <w:rPr>
          <w:sz w:val="20"/>
          <w:szCs w:val="20"/>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historical or forecasted gross booking value, payment volume, revenues, earnings, or other financial results;</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new products or services or other product developments;</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new contracts or partners or the loss of a significant contract or partner;</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developments regarding the Company’s technology or business operations;</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possible mergers or acquisitions or dispositions of significant subsidiaries or assets;</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major new litigation or regulatory inquiries or developments in existing litigation or inquiries;</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cybersecurity incidents or data breaches;</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developments in borrowings or financings or capital investments;</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changes in financial condition or asset value or liquidity issues;</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changes in our Board or senior management;</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significant changes in corporate strategy;</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restatements of historical financial statements;</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changes in accounting methods and write-offs; and</w:t>
      </w:r>
    </w:p>
    <w:p>
      <w:pPr>
        <w:spacing w:after="0" w:line="165" w:lineRule="exact"/>
        <w:rPr>
          <w:rFonts w:ascii="Arial" w:cs="Arial" w:eastAsia="Arial" w:hAnsi="Arial"/>
          <w:sz w:val="16"/>
          <w:szCs w:val="16"/>
          <w:color w:val="auto"/>
        </w:rPr>
      </w:pPr>
    </w:p>
    <w:p>
      <w:pPr>
        <w:ind w:left="520" w:hanging="260"/>
        <w:spacing w:after="0"/>
        <w:tabs>
          <w:tab w:leader="none" w:pos="520" w:val="left"/>
        </w:tabs>
        <w:numPr>
          <w:ilvl w:val="0"/>
          <w:numId w:val="184"/>
        </w:numPr>
        <w:rPr>
          <w:rFonts w:ascii="Arial" w:cs="Arial" w:eastAsia="Arial" w:hAnsi="Arial"/>
          <w:sz w:val="16"/>
          <w:szCs w:val="16"/>
          <w:color w:val="auto"/>
        </w:rPr>
      </w:pPr>
      <w:r>
        <w:rPr>
          <w:rFonts w:ascii="Times New Roman" w:cs="Times New Roman" w:eastAsia="Times New Roman" w:hAnsi="Times New Roman"/>
          <w:sz w:val="16"/>
          <w:szCs w:val="16"/>
          <w:color w:val="auto"/>
        </w:rPr>
        <w:t>stock offerings, stock splits or changes in dividend policy.</w:t>
      </w:r>
    </w:p>
    <w:p>
      <w:pPr>
        <w:spacing w:after="0" w:line="36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9" w:right="319" w:bottom="1440" w:gutter="0" w:footer="0" w:header="0"/>
        </w:sectPr>
      </w:pPr>
    </w:p>
    <w:bookmarkStart w:id="325" w:name="page326"/>
    <w:bookmarkEnd w:id="325"/>
    <w:p>
      <w:pPr>
        <w:jc w:val="both"/>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Nonpublic</w:t>
      </w:r>
      <w:r>
        <w:rPr>
          <w:rFonts w:ascii="Times New Roman" w:cs="Times New Roman" w:eastAsia="Times New Roman" w:hAnsi="Times New Roman"/>
          <w:sz w:val="16"/>
          <w:szCs w:val="16"/>
          <w:color w:val="auto"/>
        </w:rPr>
        <w:t xml:space="preserve">” means that the confidential information has not yet been shared broadly outside the Company </w:t>
      </w:r>
      <w:r>
        <w:rPr>
          <w:rFonts w:ascii="Times New Roman" w:cs="Times New Roman" w:eastAsia="Times New Roman" w:hAnsi="Times New Roman"/>
          <w:sz w:val="16"/>
          <w:szCs w:val="16"/>
          <w:color w:val="222222"/>
        </w:rPr>
        <w:t>and in compliance with applicable securities laws</w:t>
      </w:r>
      <w:r>
        <w:rPr>
          <w:rFonts w:ascii="Times New Roman" w:cs="Times New Roman" w:eastAsia="Times New Roman" w:hAnsi="Times New Roman"/>
          <w:sz w:val="16"/>
          <w:szCs w:val="16"/>
          <w:color w:val="auto"/>
        </w:rPr>
        <w:t>. Please remember as well that we may possess confidential information relating to or belonging to our customers, partners or other third parties and that it is equally important that we treat this information with the same care with which we treat our own information. If you are not sure whether information is considered public, you should either consult with our General Counsel or assume that the information is nonpublic and treat it as confidential.</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This Policy applies to all transactions involving our securities, including common stock, restricted stock units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options, and warrants to purchase common stock and any other debt or equity securities the Company may issue from time to time, such as bonds, preferred stock, convertible notes, as well as to derivative securities relating to the Company’s securities, whether or not issued by the Company, such as exchange-traded options.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PROHIBITED ACTIVITIES AND OTHER RESTRICTIONS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Insider Restrictions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list of prohibited activities for all Insiders:</w:t>
      </w:r>
    </w:p>
    <w:p>
      <w:pPr>
        <w:spacing w:after="0" w:line="175" w:lineRule="exact"/>
        <w:rPr>
          <w:sz w:val="20"/>
          <w:szCs w:val="20"/>
          <w:color w:val="auto"/>
        </w:rPr>
      </w:pPr>
    </w:p>
    <w:p>
      <w:pPr>
        <w:ind w:left="520" w:hanging="260"/>
        <w:spacing w:after="0"/>
        <w:tabs>
          <w:tab w:leader="none" w:pos="520"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MNPI. </w:t>
      </w:r>
      <w:r>
        <w:rPr>
          <w:rFonts w:ascii="Times New Roman" w:cs="Times New Roman" w:eastAsia="Times New Roman" w:hAnsi="Times New Roman"/>
          <w:sz w:val="16"/>
          <w:szCs w:val="16"/>
          <w:color w:val="auto"/>
        </w:rPr>
        <w:t>Trade our securities while in possession of MNPI (other than pursuant to a 10b5-1 Plan entered into in accordance with this Policy).</w:t>
      </w:r>
    </w:p>
    <w:p>
      <w:pPr>
        <w:spacing w:after="0" w:line="176" w:lineRule="exact"/>
        <w:rPr>
          <w:rFonts w:ascii="Arial" w:cs="Arial" w:eastAsia="Arial" w:hAnsi="Arial"/>
          <w:sz w:val="16"/>
          <w:szCs w:val="16"/>
          <w:color w:val="auto"/>
        </w:rPr>
      </w:pPr>
    </w:p>
    <w:p>
      <w:pPr>
        <w:ind w:left="520" w:hanging="260"/>
        <w:spacing w:after="0" w:line="261" w:lineRule="auto"/>
        <w:tabs>
          <w:tab w:leader="none" w:pos="518"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Trading Windows and Special Trading Restrictions. </w:t>
      </w:r>
      <w:r>
        <w:rPr>
          <w:rFonts w:ascii="Times New Roman" w:cs="Times New Roman" w:eastAsia="Times New Roman" w:hAnsi="Times New Roman"/>
          <w:sz w:val="16"/>
          <w:szCs w:val="16"/>
          <w:color w:val="auto"/>
        </w:rPr>
        <w:t>Trade our securities outside of a Trading Window or during a Blackout Period designated by our General Counsel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than pursuant to a 10b5-1 Plan entered into in accordance with this Policy). See the definition of “Trading Window” and “Blackout Period” below.</w:t>
      </w:r>
    </w:p>
    <w:p>
      <w:pPr>
        <w:spacing w:after="0" w:line="140" w:lineRule="exact"/>
        <w:rPr>
          <w:rFonts w:ascii="Arial" w:cs="Arial" w:eastAsia="Arial" w:hAnsi="Arial"/>
          <w:sz w:val="16"/>
          <w:szCs w:val="16"/>
          <w:color w:val="auto"/>
        </w:rPr>
      </w:pPr>
    </w:p>
    <w:p>
      <w:pPr>
        <w:ind w:left="520" w:hanging="260"/>
        <w:spacing w:after="0" w:line="261" w:lineRule="auto"/>
        <w:tabs>
          <w:tab w:leader="none" w:pos="529"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Gifts &amp; Other Transfers without Consideration. </w:t>
      </w:r>
      <w:r>
        <w:rPr>
          <w:rFonts w:ascii="Times New Roman" w:cs="Times New Roman" w:eastAsia="Times New Roman" w:hAnsi="Times New Roman"/>
          <w:sz w:val="16"/>
          <w:szCs w:val="16"/>
          <w:color w:val="auto"/>
        </w:rPr>
        <w:t>Unless approved in advance by our General Counsel, make a gift, charitable contribution, or other transfer without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consideration of our securities, including for estate planning, during a period when the Insider cannot trade.</w:t>
      </w:r>
    </w:p>
    <w:p>
      <w:pPr>
        <w:spacing w:after="0" w:line="140" w:lineRule="exact"/>
        <w:rPr>
          <w:rFonts w:ascii="Arial" w:cs="Arial" w:eastAsia="Arial" w:hAnsi="Arial"/>
          <w:sz w:val="16"/>
          <w:szCs w:val="16"/>
          <w:color w:val="auto"/>
        </w:rPr>
      </w:pPr>
    </w:p>
    <w:p>
      <w:pPr>
        <w:ind w:left="520" w:hanging="260"/>
        <w:spacing w:after="0"/>
        <w:tabs>
          <w:tab w:leader="none" w:pos="520"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Sharing MNPI. </w:t>
      </w:r>
      <w:r>
        <w:rPr>
          <w:rFonts w:ascii="Times New Roman" w:cs="Times New Roman" w:eastAsia="Times New Roman" w:hAnsi="Times New Roman"/>
          <w:sz w:val="16"/>
          <w:szCs w:val="16"/>
          <w:color w:val="auto"/>
        </w:rPr>
        <w:t>Share MNPI with any outside 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required by your job and such person is under NDA, or as authorized by our General Counsel.</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Tipping. </w:t>
      </w:r>
      <w:r>
        <w:rPr>
          <w:rFonts w:ascii="Times New Roman" w:cs="Times New Roman" w:eastAsia="Times New Roman" w:hAnsi="Times New Roman"/>
          <w:sz w:val="16"/>
          <w:szCs w:val="16"/>
          <w:color w:val="auto"/>
        </w:rPr>
        <w:t>Give trading advice about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advice is to tell someone not to trade our securities because the trade would violate this Policy or the law.</w:t>
      </w:r>
    </w:p>
    <w:p>
      <w:pPr>
        <w:spacing w:after="0" w:line="165" w:lineRule="exact"/>
        <w:rPr>
          <w:rFonts w:ascii="Arial" w:cs="Arial" w:eastAsia="Arial" w:hAnsi="Arial"/>
          <w:sz w:val="16"/>
          <w:szCs w:val="16"/>
          <w:color w:val="auto"/>
        </w:rPr>
      </w:pPr>
    </w:p>
    <w:p>
      <w:pPr>
        <w:ind w:left="520" w:hanging="260"/>
        <w:spacing w:after="0" w:line="275" w:lineRule="auto"/>
        <w:tabs>
          <w:tab w:leader="none" w:pos="518"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Derivative Securities. </w:t>
      </w:r>
      <w:r>
        <w:rPr>
          <w:rFonts w:ascii="Times New Roman" w:cs="Times New Roman" w:eastAsia="Times New Roman" w:hAnsi="Times New Roman"/>
          <w:sz w:val="16"/>
          <w:szCs w:val="16"/>
          <w:color w:val="auto"/>
        </w:rPr>
        <w:t>Other than the exercise of equity awards issued by us, engage in transactions involving options or other derivative securities on our stock, such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puts and calls, whether on an exchange or in any other market.</w:t>
      </w:r>
    </w:p>
    <w:p>
      <w:pPr>
        <w:spacing w:after="0" w:line="118" w:lineRule="exact"/>
        <w:rPr>
          <w:rFonts w:ascii="Arial" w:cs="Arial" w:eastAsia="Arial" w:hAnsi="Arial"/>
          <w:sz w:val="16"/>
          <w:szCs w:val="16"/>
          <w:color w:val="auto"/>
        </w:rPr>
      </w:pPr>
    </w:p>
    <w:p>
      <w:pPr>
        <w:ind w:left="520" w:hanging="260"/>
        <w:spacing w:after="0" w:line="275" w:lineRule="auto"/>
        <w:tabs>
          <w:tab w:leader="none" w:pos="529"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Hedging. </w:t>
      </w:r>
      <w:r>
        <w:rPr>
          <w:rFonts w:ascii="Times New Roman" w:cs="Times New Roman" w:eastAsia="Times New Roman" w:hAnsi="Times New Roman"/>
          <w:sz w:val="16"/>
          <w:szCs w:val="16"/>
          <w:color w:val="auto"/>
        </w:rPr>
        <w:t>Engage in hedging or monetization transactions involving our securities, such as zero cost collars and forward sale contracts, or contribute our securities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funds in a manner that could be interpreted as hedging in our stock.</w:t>
      </w:r>
    </w:p>
    <w:p>
      <w:pPr>
        <w:spacing w:after="0" w:line="118" w:lineRule="exact"/>
        <w:rPr>
          <w:rFonts w:ascii="Arial" w:cs="Arial" w:eastAsia="Arial" w:hAnsi="Arial"/>
          <w:sz w:val="16"/>
          <w:szCs w:val="16"/>
          <w:color w:val="auto"/>
        </w:rPr>
      </w:pPr>
    </w:p>
    <w:p>
      <w:pPr>
        <w:ind w:left="520" w:hanging="260"/>
        <w:spacing w:after="0"/>
        <w:tabs>
          <w:tab w:leader="none" w:pos="520"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Short Sales. </w:t>
      </w:r>
      <w:r>
        <w:rPr>
          <w:rFonts w:ascii="Times New Roman" w:cs="Times New Roman" w:eastAsia="Times New Roman" w:hAnsi="Times New Roman"/>
          <w:sz w:val="16"/>
          <w:szCs w:val="16"/>
          <w:color w:val="auto"/>
        </w:rPr>
        <w:t>Engage in short sales of our securities, meaning a sale of securities that you do not own, including short sales “against the box.”</w:t>
      </w:r>
    </w:p>
    <w:p>
      <w:pPr>
        <w:spacing w:after="0" w:line="176" w:lineRule="exact"/>
        <w:rPr>
          <w:rFonts w:ascii="Arial" w:cs="Arial" w:eastAsia="Arial" w:hAnsi="Arial"/>
          <w:sz w:val="16"/>
          <w:szCs w:val="16"/>
          <w:color w:val="auto"/>
        </w:rPr>
      </w:pPr>
    </w:p>
    <w:p>
      <w:pPr>
        <w:ind w:left="520" w:hanging="260"/>
        <w:spacing w:after="0" w:line="275" w:lineRule="auto"/>
        <w:tabs>
          <w:tab w:leader="none" w:pos="529" w:val="left"/>
        </w:tabs>
        <w:numPr>
          <w:ilvl w:val="0"/>
          <w:numId w:val="185"/>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Margin Accounts. </w:t>
      </w:r>
      <w:r>
        <w:rPr>
          <w:rFonts w:ascii="Times New Roman" w:cs="Times New Roman" w:eastAsia="Times New Roman" w:hAnsi="Times New Roman"/>
          <w:sz w:val="16"/>
          <w:szCs w:val="16"/>
          <w:color w:val="auto"/>
        </w:rPr>
        <w:t>Use or pledge our securities as collateral in a margin account or as collateral for a loan and is conducted in accordance with any applicable policy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guidelines of the Company regarding pledging.</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7" w:right="319" w:bottom="1440" w:gutter="0" w:footer="0" w:header="0"/>
        </w:sectPr>
      </w:pPr>
    </w:p>
    <w:bookmarkStart w:id="326" w:name="page327"/>
    <w:bookmarkEnd w:id="326"/>
    <w:p>
      <w:pPr>
        <w:ind w:left="520" w:hanging="260"/>
        <w:spacing w:after="0" w:line="275" w:lineRule="auto"/>
        <w:tabs>
          <w:tab w:leader="none" w:pos="518" w:val="left"/>
        </w:tabs>
        <w:numPr>
          <w:ilvl w:val="0"/>
          <w:numId w:val="186"/>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Distributions. </w:t>
      </w:r>
      <w:r>
        <w:rPr>
          <w:rFonts w:ascii="Times New Roman" w:cs="Times New Roman" w:eastAsia="Times New Roman" w:hAnsi="Times New Roman"/>
          <w:sz w:val="16"/>
          <w:szCs w:val="16"/>
          <w:color w:val="auto"/>
        </w:rPr>
        <w:t>Distribute our securities to limited partners, general partners, or stockholders of any entity outside of a Trading Window or during a Blackout Period,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those limited partners, general partners, or stockholders have agreed in writing to hold the securities until the next open Trading Window.</w:t>
      </w:r>
    </w:p>
    <w:p>
      <w:pPr>
        <w:spacing w:after="0" w:line="118" w:lineRule="exact"/>
        <w:rPr>
          <w:rFonts w:ascii="Arial" w:cs="Arial" w:eastAsia="Arial" w:hAnsi="Arial"/>
          <w:sz w:val="16"/>
          <w:szCs w:val="16"/>
          <w:color w:val="auto"/>
        </w:rPr>
      </w:pPr>
    </w:p>
    <w:p>
      <w:pPr>
        <w:jc w:val="both"/>
        <w:ind w:left="520" w:hanging="260"/>
        <w:spacing w:after="0" w:line="252" w:lineRule="auto"/>
        <w:tabs>
          <w:tab w:leader="none" w:pos="529" w:val="left"/>
        </w:tabs>
        <w:numPr>
          <w:ilvl w:val="0"/>
          <w:numId w:val="186"/>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MNPI in Other Companies. </w:t>
      </w:r>
      <w:r>
        <w:rPr>
          <w:rFonts w:ascii="Times New Roman" w:cs="Times New Roman" w:eastAsia="Times New Roman" w:hAnsi="Times New Roman"/>
          <w:sz w:val="16"/>
          <w:szCs w:val="16"/>
          <w:color w:val="auto"/>
        </w:rPr>
        <w:t>Engage in any of the above activities for securities you own in any other company if you have MNPI about that company obtained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course of your service to the Company. Federal and state insider trading laws, and this Policy, prohibit transacting in securities of a company, including our company or another company, when in possession of MNPI about that company. In addition, in the course of your employment, you may obtain MNPI about one company that could affect the share price of another or a different publicly traded company. In such a case, you may not trade in the securities of such other publicly traded company until such information becomes public or is no longer material.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Exceptions to Prohibited Activities</w:t>
      </w:r>
    </w:p>
    <w:p>
      <w:pPr>
        <w:spacing w:after="0" w:line="179"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4"/>
          <w:szCs w:val="14"/>
          <w:color w:val="auto"/>
        </w:rPr>
        <w:t>The following are permitted activities that qualify as limited exceptions to the restrictions imposed by the Company under this Policy. Please be aware that, even if a transaction is listed below, you will need to separately assess whether the transaction complies with applicable law. The trading restrictions of this Policy do not apply to the following:</w:t>
      </w:r>
    </w:p>
    <w:p>
      <w:pPr>
        <w:spacing w:after="0" w:line="96" w:lineRule="exact"/>
        <w:rPr>
          <w:sz w:val="20"/>
          <w:szCs w:val="20"/>
          <w:color w:val="auto"/>
        </w:rPr>
      </w:pPr>
    </w:p>
    <w:p>
      <w:pPr>
        <w:ind w:left="520" w:hanging="260"/>
        <w:spacing w:after="0" w:line="275" w:lineRule="auto"/>
        <w:tabs>
          <w:tab w:leader="none" w:pos="529" w:val="left"/>
        </w:tabs>
        <w:numPr>
          <w:ilvl w:val="0"/>
          <w:numId w:val="187"/>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401(k) Plan. </w:t>
      </w:r>
      <w:r>
        <w:rPr>
          <w:rFonts w:ascii="Times New Roman" w:cs="Times New Roman" w:eastAsia="Times New Roman" w:hAnsi="Times New Roman"/>
          <w:sz w:val="16"/>
          <w:szCs w:val="16"/>
          <w:color w:val="auto"/>
        </w:rPr>
        <w:t>Investing 401(k) plan contributions in a company stock fund in accordance with the terms of our 401(k) plan. However, any changes in your investment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election regarding the Company’s securities are subject to trading restrictions under this Policy.</w:t>
      </w:r>
    </w:p>
    <w:p>
      <w:pPr>
        <w:spacing w:after="0" w:line="118" w:lineRule="exact"/>
        <w:rPr>
          <w:rFonts w:ascii="Arial" w:cs="Arial" w:eastAsia="Arial" w:hAnsi="Arial"/>
          <w:sz w:val="16"/>
          <w:szCs w:val="16"/>
          <w:color w:val="auto"/>
        </w:rPr>
      </w:pPr>
    </w:p>
    <w:p>
      <w:pPr>
        <w:ind w:left="520" w:hanging="260"/>
        <w:spacing w:after="0" w:line="275" w:lineRule="auto"/>
        <w:tabs>
          <w:tab w:leader="none" w:pos="518" w:val="left"/>
        </w:tabs>
        <w:numPr>
          <w:ilvl w:val="0"/>
          <w:numId w:val="187"/>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ESPP. </w:t>
      </w:r>
      <w:r>
        <w:rPr>
          <w:rFonts w:ascii="Times New Roman" w:cs="Times New Roman" w:eastAsia="Times New Roman" w:hAnsi="Times New Roman"/>
          <w:sz w:val="16"/>
          <w:szCs w:val="16"/>
          <w:color w:val="auto"/>
        </w:rPr>
        <w:t>Purchasing our stock through periodic, automatic payroll contributions, or making election changes, under our Employee Stock Purchase Plan. However, any sales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acquired under the ESPP are subject to trading restrictions under this Policy.</w:t>
      </w:r>
    </w:p>
    <w:p>
      <w:pPr>
        <w:spacing w:after="0" w:line="118" w:lineRule="exact"/>
        <w:rPr>
          <w:rFonts w:ascii="Arial" w:cs="Arial" w:eastAsia="Arial" w:hAnsi="Arial"/>
          <w:sz w:val="16"/>
          <w:szCs w:val="16"/>
          <w:color w:val="auto"/>
        </w:rPr>
      </w:pPr>
    </w:p>
    <w:p>
      <w:pPr>
        <w:jc w:val="both"/>
        <w:ind w:left="520" w:hanging="260"/>
        <w:spacing w:after="0" w:line="248" w:lineRule="auto"/>
        <w:tabs>
          <w:tab w:leader="none" w:pos="529" w:val="left"/>
        </w:tabs>
        <w:numPr>
          <w:ilvl w:val="0"/>
          <w:numId w:val="187"/>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Options. </w:t>
      </w:r>
      <w:r>
        <w:rPr>
          <w:rFonts w:ascii="Times New Roman" w:cs="Times New Roman" w:eastAsia="Times New Roman" w:hAnsi="Times New Roman"/>
          <w:sz w:val="16"/>
          <w:szCs w:val="16"/>
          <w:color w:val="auto"/>
        </w:rPr>
        <w:t>Exercising stock options granted under our equity incentive plans for cash or by delivering to the Company previously owned Company stock or through a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of a stock option that is permitted by the Company’s equity incentive plans and that does not involve a sale of shares in the open market. Payment of taxes in connection with exercising stock options granted under our equity incentive plans pursuant to net withholding arrangements approved by the Company for the payment of taxes upon the exercise of stock options and that does not involve a sale of shares in the open market. 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152" w:lineRule="exact"/>
        <w:rPr>
          <w:rFonts w:ascii="Arial" w:cs="Arial" w:eastAsia="Arial" w:hAnsi="Arial"/>
          <w:sz w:val="16"/>
          <w:szCs w:val="16"/>
          <w:color w:val="auto"/>
        </w:rPr>
      </w:pPr>
    </w:p>
    <w:p>
      <w:pPr>
        <w:ind w:left="520" w:hanging="260"/>
        <w:spacing w:after="0" w:line="261" w:lineRule="auto"/>
        <w:tabs>
          <w:tab w:leader="none" w:pos="529" w:val="left"/>
        </w:tabs>
        <w:numPr>
          <w:ilvl w:val="0"/>
          <w:numId w:val="187"/>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Settlement of RSUs for Tax Withholdings. </w:t>
      </w:r>
      <w:r>
        <w:rPr>
          <w:rFonts w:ascii="Times New Roman" w:cs="Times New Roman" w:eastAsia="Times New Roman" w:hAnsi="Times New Roman"/>
          <w:sz w:val="16"/>
          <w:szCs w:val="16"/>
          <w:color w:val="auto"/>
        </w:rPr>
        <w:t>The settlement of RSUs pursuant to a net settlement or a “sale to cover” for non-discretionary, automatic tax withholdings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initiated and approved by the Company for the payment of taxes upon the vesting of RSUs.</w:t>
      </w:r>
    </w:p>
    <w:p>
      <w:pPr>
        <w:spacing w:after="0" w:line="140" w:lineRule="exact"/>
        <w:rPr>
          <w:rFonts w:ascii="Arial" w:cs="Arial" w:eastAsia="Arial" w:hAnsi="Arial"/>
          <w:sz w:val="16"/>
          <w:szCs w:val="16"/>
          <w:color w:val="auto"/>
        </w:rPr>
      </w:pPr>
    </w:p>
    <w:p>
      <w:pPr>
        <w:ind w:left="520" w:hanging="260"/>
        <w:spacing w:after="0"/>
        <w:tabs>
          <w:tab w:leader="none" w:pos="520" w:val="left"/>
        </w:tabs>
        <w:numPr>
          <w:ilvl w:val="0"/>
          <w:numId w:val="187"/>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Inheritance and Divorce. </w:t>
      </w:r>
      <w:r>
        <w:rPr>
          <w:rFonts w:ascii="Times New Roman" w:cs="Times New Roman" w:eastAsia="Times New Roman" w:hAnsi="Times New Roman"/>
          <w:sz w:val="16"/>
          <w:szCs w:val="16"/>
          <w:color w:val="auto"/>
        </w:rPr>
        <w:t>Transfers by will or the laws of descent and distribution or transfers pursuant to a divorce settlement.</w:t>
      </w:r>
    </w:p>
    <w:p>
      <w:pPr>
        <w:spacing w:after="0" w:line="176" w:lineRule="exact"/>
        <w:rPr>
          <w:rFonts w:ascii="Arial" w:cs="Arial" w:eastAsia="Arial" w:hAnsi="Arial"/>
          <w:sz w:val="16"/>
          <w:szCs w:val="16"/>
          <w:color w:val="auto"/>
        </w:rPr>
      </w:pPr>
    </w:p>
    <w:p>
      <w:pPr>
        <w:ind w:left="520" w:hanging="260"/>
        <w:spacing w:after="0"/>
        <w:tabs>
          <w:tab w:leader="none" w:pos="520" w:val="left"/>
        </w:tabs>
        <w:numPr>
          <w:ilvl w:val="0"/>
          <w:numId w:val="187"/>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Change in Form of Ownership. </w:t>
      </w:r>
      <w:r>
        <w:rPr>
          <w:rFonts w:ascii="Times New Roman" w:cs="Times New Roman" w:eastAsia="Times New Roman" w:hAnsi="Times New Roman"/>
          <w:sz w:val="16"/>
          <w:szCs w:val="16"/>
          <w:color w:val="auto"/>
        </w:rPr>
        <w:t>Transactions that only involve a change in the form in which you own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TRADING IS ALLOWED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7" w:right="31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6"/>
          <w:szCs w:val="16"/>
          <w:color w:val="auto"/>
        </w:rPr>
        <w:t>To promote compliance with insider trading laws, we have designated periods where Insiders can trade in our securities, which are described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Trading Windows and Blackout Periods</w:t>
      </w:r>
    </w:p>
    <w:p>
      <w:pPr>
        <w:spacing w:after="0" w:line="166" w:lineRule="exact"/>
        <w:rPr>
          <w:sz w:val="20"/>
          <w:szCs w:val="20"/>
          <w:color w:val="auto"/>
        </w:rPr>
      </w:pPr>
    </w:p>
    <w:p>
      <w:pPr>
        <w:jc w:val="both"/>
        <w:ind w:left="520" w:hanging="260"/>
        <w:spacing w:after="0" w:line="248" w:lineRule="auto"/>
        <w:tabs>
          <w:tab w:leader="none" w:pos="518" w:val="left"/>
        </w:tabs>
        <w:numPr>
          <w:ilvl w:val="0"/>
          <w:numId w:val="188"/>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You Can Only Trade in an Open Trading Window. </w:t>
      </w:r>
      <w:r>
        <w:rPr>
          <w:rFonts w:ascii="Times New Roman" w:cs="Times New Roman" w:eastAsia="Times New Roman" w:hAnsi="Times New Roman"/>
          <w:sz w:val="16"/>
          <w:szCs w:val="16"/>
          <w:color w:val="auto"/>
        </w:rPr>
        <w:t>Other than pursuant to a 10b5-1 Plan, Insiders are allowed to trade our securities only during an open trading window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 which typically opens at the start of the second full trading day following the date of the widespread public release of our quarterly or year-end financial results, and closes at the close of trading on the fourteenth calendar day of the third month of the then-current quarter (the “</w:t>
      </w:r>
      <w:r>
        <w:rPr>
          <w:rFonts w:ascii="Times New Roman" w:cs="Times New Roman" w:eastAsia="Times New Roman" w:hAnsi="Times New Roman"/>
          <w:sz w:val="16"/>
          <w:szCs w:val="16"/>
          <w:b w:val="1"/>
          <w:bCs w:val="1"/>
          <w:i w:val="1"/>
          <w:iCs w:val="1"/>
          <w:color w:val="auto"/>
        </w:rPr>
        <w:t>Trading Window</w:t>
      </w:r>
      <w:r>
        <w:rPr>
          <w:rFonts w:ascii="Times New Roman" w:cs="Times New Roman" w:eastAsia="Times New Roman" w:hAnsi="Times New Roman"/>
          <w:sz w:val="16"/>
          <w:szCs w:val="16"/>
          <w:color w:val="auto"/>
        </w:rPr>
        <w:t>”). For example, if we publicly announce our quarterly financial results after close of trading on a Monday, then the first time an Insider can trade our securities is at the open of regular trading on Wednesday. If the fourteenth calendar day of the third month of the then-current quarter falls on a weekend or federal holiday, then the trading window period will close on the last trading day immediately preceding the fourteenth calendar day. For example, if the fourteenth calendar day of the third month of the then-current quarter falls on a Saturday, then the trading window period will end at the close of market on Friday.</w:t>
      </w:r>
    </w:p>
    <w:p>
      <w:pPr>
        <w:spacing w:after="0" w:line="143" w:lineRule="exact"/>
        <w:rPr>
          <w:rFonts w:ascii="Arial" w:cs="Arial" w:eastAsia="Arial" w:hAnsi="Arial"/>
          <w:sz w:val="16"/>
          <w:szCs w:val="16"/>
          <w:color w:val="auto"/>
        </w:rPr>
      </w:pPr>
    </w:p>
    <w:p>
      <w:pPr>
        <w:jc w:val="both"/>
        <w:ind w:left="520" w:hanging="260"/>
        <w:spacing w:after="0" w:line="262" w:lineRule="auto"/>
        <w:tabs>
          <w:tab w:leader="none" w:pos="518" w:val="left"/>
        </w:tabs>
        <w:numPr>
          <w:ilvl w:val="0"/>
          <w:numId w:val="188"/>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Even During a Trading Window, You Are Not Allowed to Trade While in Possession of MNPI. </w:t>
      </w:r>
      <w:r>
        <w:rPr>
          <w:rFonts w:ascii="Times New Roman" w:cs="Times New Roman" w:eastAsia="Times New Roman" w:hAnsi="Times New Roman"/>
          <w:sz w:val="16"/>
          <w:szCs w:val="16"/>
          <w:color w:val="auto"/>
        </w:rPr>
        <w:t>Even during a Trading Window, you still may not trade our securities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possess MNPI at that time. An Insider who possesses MNPI during a Trading Window may only trade our securities after the close of trading on the next full trading day following our widespread public release of that MNPI.</w:t>
      </w:r>
    </w:p>
    <w:p>
      <w:pPr>
        <w:spacing w:after="0" w:line="128" w:lineRule="exact"/>
        <w:rPr>
          <w:rFonts w:ascii="Arial" w:cs="Arial" w:eastAsia="Arial" w:hAnsi="Arial"/>
          <w:sz w:val="16"/>
          <w:szCs w:val="16"/>
          <w:color w:val="auto"/>
        </w:rPr>
      </w:pPr>
    </w:p>
    <w:p>
      <w:pPr>
        <w:jc w:val="both"/>
        <w:ind w:left="520" w:hanging="260"/>
        <w:spacing w:after="0" w:line="252" w:lineRule="auto"/>
        <w:tabs>
          <w:tab w:leader="none" w:pos="529" w:val="left"/>
        </w:tabs>
        <w:numPr>
          <w:ilvl w:val="0"/>
          <w:numId w:val="188"/>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 xml:space="preserve">You Cannot Trade During a Blackout Period. </w:t>
      </w:r>
      <w:r>
        <w:rPr>
          <w:rFonts w:ascii="Times New Roman" w:cs="Times New Roman" w:eastAsia="Times New Roman" w:hAnsi="Times New Roman"/>
          <w:sz w:val="16"/>
          <w:szCs w:val="16"/>
          <w:color w:val="auto"/>
        </w:rPr>
        <w:t>Even during a Trading Window, our General Counsel, at his or her discretion, may designate special trading restrictions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Blackout Period</w:t>
      </w:r>
      <w:r>
        <w:rPr>
          <w:rFonts w:ascii="Times New Roman" w:cs="Times New Roman" w:eastAsia="Times New Roman" w:hAnsi="Times New Roman"/>
          <w:sz w:val="16"/>
          <w:szCs w:val="16"/>
          <w:color w:val="auto"/>
        </w:rPr>
        <w:t>”) that apply to specific individuals or groups of people (including all Insiders) for as long as our General Counsel determines. No Insider subject to a Blackout Period may trade our securities during any such Blackout Period. Additionally, no Insider subject to a Blackout Period is permitted to tell anyone not subject to the Blackout Period that a Blackout Period has been designated or that one previously was in place because that also is confidential information that cannot be disclosed internally or externally.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Restrictions Applicable to Section 16 Insiders and Designated Insiders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restrictions noted above and elsewhere in this Policy, Section 16 Insiders and Designated Insiders must also comply with the following: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strongly encourage Section 16 Insiders to trade in our securities pursuant to a 10b5-1 Plan entered into in accordance with this Policy (refer to our Rule 10b5-1 Guidelines).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If you are a Section 16 Insider, prior to trading our securities other than pursuant to a 10b5-1 Plan, you must obtain pre-approval from our General Counsel (or in the case of the General Counsel, by the Chief Financial Officer or principal accounting officer) by: (a) providing written notification of the amount and nature of the proposed trade, (b) certifying no earlier than two business days prior to the first proposed trade that you have no MNPI and, to your knowledge, you will have no MNPI as of the proposed trade date and (c) receiving confirmation from our General Counsel approving the trade, which approval can be granted or denied at his or her discretion. This includes even proposed gifts involving our common stock or transfers for tax planning purposes in which the beneficial ownership and pecuniary interest in the transferred securities do not change. From time to time, the General Counsel may identify other persons who require pre-clearance on Schedule I hereto.</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8" w:right="319" w:bottom="1440" w:gutter="0" w:footer="0" w:header="0"/>
        </w:sectPr>
      </w:pPr>
    </w:p>
    <w:bookmarkStart w:id="328" w:name="page329"/>
    <w:bookmarkEnd w:id="328"/>
    <w:p>
      <w:pPr>
        <w:jc w:val="both"/>
        <w:spacing w:after="0" w:line="273" w:lineRule="auto"/>
        <w:rPr>
          <w:sz w:val="20"/>
          <w:szCs w:val="20"/>
          <w:color w:val="auto"/>
        </w:rPr>
      </w:pPr>
      <w:r>
        <w:rPr>
          <w:rFonts w:ascii="Times New Roman" w:cs="Times New Roman" w:eastAsia="Times New Roman" w:hAnsi="Times New Roman"/>
          <w:sz w:val="16"/>
          <w:szCs w:val="16"/>
          <w:color w:val="auto"/>
        </w:rPr>
        <w:t>You can satisfy the first two requirements (a) and (b) above by emailing the General Counsel or their authorized designee. You must also notify the General Counsel or their authorized designee promptly via email of any changes to the certification prior to the proposed trade.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Trading Arrangements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Insiders are not allowed to enter into “non-Rule 10b5-1 trading arrangements” (as defined in Regulation S-K Item 408(c)) unless otherwise approved in advance by the General Counsel.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not transact in our securities unless in compliance with applicable U.S. securities laws, rules and regulations and applicable Nasdaq listing standards.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ARE SIGNIFICANT CONSEQUENCES FOR VIOLATING INSIDER TRADING LAWS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consequences of violating the insider trading laws can be severe. People who violate insider trading laws may be required to disgorge profits made or losses avoided by trading, pay the loss suffered by the persons who purchased securities from or sold securities to the insider tippee,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CONSEQUENCES OF VIOLATING THIS POLICY</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may impose discipline on anyone violating this Policy, up to and including termination of employment, and we may issue stop transfer orders to our transfer agent to prevent any attempted trades that would violate this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General Counsel will administer and interpret this Policy and enforce compliance as needed. The General Counsel may consult with the Company’s outside legal counsel as needed. The General Counsel may designate other individuals to perform the General Counsel’s duties under this Policy.</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Neither the Company nor the General Counsel will be liable for any act made under this Policy. Neither the Company nor the General Counsel is responsible for any failure to approve a trade or for imposing any Blackout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REPORTING VIOLATIONS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Any Insider who violates this Policy or any federal or state laws governing insider trading or tipping, or who knows of any such violation by any other Insider, must report the violation immediately to our General Counsel. To anonymously submit a concern or complaint regarding a possible violation of this Policy, you should follow the procedures outlined in our Whistleblower Policy. Anyone who violates this Policy may be subject to disciplinary measures, which may include termination of employment.</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9" w:right="3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6"/>
          <w:szCs w:val="16"/>
          <w:b w:val="1"/>
          <w:bCs w:val="1"/>
          <w:color w:val="auto"/>
        </w:rPr>
        <w:t>CHANGES TO THIS POLICY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Board or any designated committee of the Board, reserves the right in its sole discretion to modify or grant waivers to this Policy. Any amendments or waiver may be publicly disclosed if required by applicable laws, rules and regulations. For the avoidance of doubt, unless explicitly stated by the Board, any waiver, amendment or modification of the Policy by the Board shall not be considered a waiver of the Company’s Code of Business Conduct and Ethics.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AND AMENDMENT HISTORY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effective date of this Policy is October 29, 2025. The Policy was amended on March 3, 2026.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1280"/>
          </w:cols>
          <w:pgMar w:left="300" w:top="1306" w:right="319" w:bottom="1440" w:gutter="0" w:footer="0" w:header="0"/>
        </w:sectPr>
      </w:pPr>
    </w:p>
    <w:bookmarkStart w:id="330" w:name="page331"/>
    <w:bookmarkEnd w:id="330"/>
    <w:p>
      <w:pPr>
        <w:jc w:val="right"/>
        <w:ind w:right="4179"/>
        <w:spacing w:after="0"/>
        <w:rPr>
          <w:sz w:val="20"/>
          <w:szCs w:val="20"/>
          <w:color w:val="auto"/>
        </w:rPr>
      </w:pPr>
      <w:r>
        <w:rPr>
          <w:rFonts w:ascii="Times New Roman" w:cs="Times New Roman" w:eastAsia="Times New Roman" w:hAnsi="Times New Roman"/>
          <w:sz w:val="16"/>
          <w:szCs w:val="16"/>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color w:val="auto"/>
        </w:rPr>
        <w:t>332225620 v2</w:t>
      </w:r>
    </w:p>
    <w:p>
      <w:pPr>
        <w:sectPr>
          <w:pgSz w:w="11900" w:h="16838" w:orient="portrait"/>
          <w:cols w:equalWidth="0" w:num="1">
            <w:col w:w="10139"/>
          </w:cols>
          <w:pgMar w:left="320" w:top="1309" w:right="1440"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ectPr>
          <w:pgSz w:w="11900" w:h="16838" w:orient="portrait"/>
          <w:cols w:equalWidth="0" w:num="1">
            <w:col w:w="11260"/>
          </w:cols>
          <w:pgMar w:left="320" w:top="1141" w:right="31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Liquid Labs SPV,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Reed &amp; Mackay Travel Limited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ectPr>
          <w:pgSz w:w="11900" w:h="16838" w:orient="portrait"/>
          <w:cols w:equalWidth="0" w:num="2">
            <w:col w:w="5240" w:space="720"/>
            <w:col w:w="5300"/>
          </w:cols>
          <w:pgMar w:left="320" w:top="1141" w:right="319" w:bottom="1440" w:gutter="0" w:footer="0" w:header="0"/>
          <w:type w:val="continuous"/>
        </w:sectPr>
      </w:pPr>
    </w:p>
    <w:bookmarkStart w:id="332" w:name="page333"/>
    <w:bookmarkEnd w:id="332"/>
    <w:p>
      <w:pPr>
        <w:spacing w:after="0" w:line="65" w:lineRule="exact"/>
        <w:rPr>
          <w:sz w:val="20"/>
          <w:szCs w:val="20"/>
          <w:color w:val="auto"/>
        </w:rPr>
      </w:pPr>
    </w:p>
    <w:p>
      <w:pPr>
        <w:jc w:val="center"/>
        <w:ind w:right="-19"/>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371" w:lineRule="exact"/>
        <w:rPr>
          <w:sz w:val="20"/>
          <w:szCs w:val="20"/>
          <w:color w:val="auto"/>
        </w:rPr>
      </w:pPr>
    </w:p>
    <w:p>
      <w:pPr>
        <w:spacing w:after="0" w:line="289" w:lineRule="auto"/>
        <w:rPr>
          <w:sz w:val="20"/>
          <w:szCs w:val="20"/>
          <w:color w:val="auto"/>
        </w:rPr>
      </w:pPr>
      <w:r>
        <w:rPr>
          <w:rFonts w:ascii="Georgia" w:cs="Georgia" w:eastAsia="Georgia" w:hAnsi="Georgia"/>
          <w:sz w:val="14"/>
          <w:szCs w:val="14"/>
          <w:color w:val="auto"/>
        </w:rPr>
        <w:t>We hereby consent to the incorporation by reference in the Registration Statements on Form S-8 (Nos. 333-291159, and 333-291160) of Navan, Inc. of our report dated April 2, 2026 relating to the financial statements, which appears in this Form 10-K.</w:t>
      </w:r>
    </w:p>
    <w:p>
      <w:pPr>
        <w:spacing w:after="0" w:line="158"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21" w:lineRule="exact"/>
        <w:rPr>
          <w:sz w:val="20"/>
          <w:szCs w:val="20"/>
          <w:color w:val="auto"/>
        </w:rPr>
      </w:pPr>
    </w:p>
    <w:p>
      <w:pPr>
        <w:spacing w:after="0"/>
        <w:rPr>
          <w:sz w:val="20"/>
          <w:szCs w:val="20"/>
          <w:color w:val="auto"/>
        </w:rPr>
      </w:pPr>
      <w:r>
        <w:rPr>
          <w:rFonts w:ascii="Georgia" w:cs="Georgia" w:eastAsia="Georgia" w:hAnsi="Georgia"/>
          <w:sz w:val="14"/>
          <w:szCs w:val="14"/>
          <w:color w:val="auto"/>
        </w:rPr>
        <w:t>San Jose, California</w:t>
      </w:r>
    </w:p>
    <w:p>
      <w:pPr>
        <w:spacing w:after="0" w:line="11" w:lineRule="exact"/>
        <w:rPr>
          <w:sz w:val="20"/>
          <w:szCs w:val="20"/>
          <w:color w:val="auto"/>
        </w:rPr>
      </w:pPr>
    </w:p>
    <w:p>
      <w:pPr>
        <w:spacing w:after="0"/>
        <w:rPr>
          <w:sz w:val="20"/>
          <w:szCs w:val="20"/>
          <w:color w:val="auto"/>
        </w:rPr>
      </w:pPr>
      <w:r>
        <w:rPr>
          <w:rFonts w:ascii="Georgia" w:cs="Georgia" w:eastAsia="Georgia" w:hAnsi="Georgia"/>
          <w:sz w:val="14"/>
          <w:szCs w:val="14"/>
          <w:color w:val="auto"/>
        </w:rPr>
        <w:t>April 2, 2026</w:t>
      </w:r>
    </w:p>
    <w:p>
      <w:pPr>
        <w:sectPr>
          <w:pgSz w:w="11900" w:h="16838" w:orient="portrait"/>
          <w:cols w:equalWidth="0" w:num="1">
            <w:col w:w="11280"/>
          </w:cols>
          <w:pgMar w:left="300" w:top="1440" w:right="319" w:bottom="1440" w:gutter="0" w:footer="0" w:header="0"/>
        </w:sectPr>
      </w:pPr>
    </w:p>
    <w:bookmarkStart w:id="333" w:name="page334"/>
    <w:bookmarkEnd w:id="333"/>
    <w:p>
      <w:pPr>
        <w:jc w:val="center"/>
        <w:spacing w:after="0" w:line="277" w:lineRule="auto"/>
        <w:rPr>
          <w:sz w:val="20"/>
          <w:szCs w:val="20"/>
          <w:color w:val="auto"/>
        </w:rPr>
      </w:pPr>
      <w:r>
        <w:rPr>
          <w:rFonts w:ascii="Arial" w:cs="Arial" w:eastAsia="Arial" w:hAnsi="Arial"/>
          <w:sz w:val="14"/>
          <w:szCs w:val="14"/>
          <w:b w:val="1"/>
          <w:bCs w:val="1"/>
          <w:color w:val="auto"/>
        </w:rPr>
        <w:t>CERTIFICATION OF PRINCIPAL EXECUTIVE OFFICER PURSUANT TO RULES 13a-14(a) AND 15d-14(a) UNDER THE SECURITIES EXCHANGE ACT OF 1934, AS ADOPTED PURSUANT TO SECTION 302 OF THE SARBANES-OXLEY ACT OF 2002</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I, Ariel Cohen, certify that:</w:t>
      </w:r>
    </w:p>
    <w:p>
      <w:pPr>
        <w:spacing w:after="0" w:line="179" w:lineRule="exact"/>
        <w:rPr>
          <w:sz w:val="20"/>
          <w:szCs w:val="20"/>
          <w:color w:val="auto"/>
        </w:rPr>
      </w:pPr>
    </w:p>
    <w:p>
      <w:pPr>
        <w:ind w:left="280" w:hanging="275"/>
        <w:spacing w:after="0"/>
        <w:tabs>
          <w:tab w:leader="none" w:pos="28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Navan, Inc.;</w:t>
      </w:r>
    </w:p>
    <w:p>
      <w:pPr>
        <w:spacing w:after="0" w:line="93" w:lineRule="exact"/>
        <w:rPr>
          <w:rFonts w:ascii="Arial" w:cs="Arial" w:eastAsia="Arial" w:hAnsi="Arial"/>
          <w:sz w:val="14"/>
          <w:szCs w:val="14"/>
          <w:color w:val="auto"/>
        </w:rPr>
      </w:pPr>
    </w:p>
    <w:p>
      <w:pPr>
        <w:ind w:left="520" w:hanging="515"/>
        <w:spacing w:after="0" w:line="290" w:lineRule="auto"/>
        <w:tabs>
          <w:tab w:leader="none" w:pos="295" w:val="left"/>
        </w:tabs>
        <w:numPr>
          <w:ilvl w:val="0"/>
          <w:numId w:val="1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left="520" w:hanging="515"/>
        <w:spacing w:after="0" w:line="290" w:lineRule="auto"/>
        <w:tabs>
          <w:tab w:leader="none" w:pos="306" w:val="left"/>
        </w:tabs>
        <w:numPr>
          <w:ilvl w:val="0"/>
          <w:numId w:val="18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left="520" w:hanging="515"/>
        <w:spacing w:after="0" w:line="290" w:lineRule="auto"/>
        <w:tabs>
          <w:tab w:leader="none" w:pos="283"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4"/>
          <w:szCs w:val="14"/>
          <w:color w:val="auto"/>
        </w:rPr>
      </w:pPr>
    </w:p>
    <w:p>
      <w:pPr>
        <w:ind w:left="1020" w:hanging="506"/>
        <w:spacing w:after="0" w:line="271" w:lineRule="auto"/>
        <w:tabs>
          <w:tab w:leader="none" w:pos="864" w:val="left"/>
        </w:tabs>
        <w:numPr>
          <w:ilvl w:val="1"/>
          <w:numId w:val="18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left="840" w:hanging="326"/>
        <w:spacing w:after="0"/>
        <w:tabs>
          <w:tab w:leader="none" w:pos="840" w:val="left"/>
        </w:tabs>
        <w:numPr>
          <w:ilvl w:val="1"/>
          <w:numId w:val="189"/>
        </w:numPr>
        <w:rPr>
          <w:rFonts w:ascii="Arial" w:cs="Arial" w:eastAsia="Arial" w:hAnsi="Arial"/>
          <w:sz w:val="14"/>
          <w:szCs w:val="14"/>
          <w:color w:val="auto"/>
        </w:rPr>
      </w:pPr>
      <w:r>
        <w:rPr>
          <w:rFonts w:ascii="Arial" w:cs="Arial" w:eastAsia="Arial" w:hAnsi="Arial"/>
          <w:sz w:val="14"/>
          <w:szCs w:val="14"/>
          <w:color w:val="auto"/>
        </w:rPr>
        <w:t>Reserved;</w:t>
      </w:r>
    </w:p>
    <w:p>
      <w:pPr>
        <w:spacing w:after="0" w:line="93" w:lineRule="exact"/>
        <w:rPr>
          <w:rFonts w:ascii="Arial" w:cs="Arial" w:eastAsia="Arial" w:hAnsi="Arial"/>
          <w:sz w:val="14"/>
          <w:szCs w:val="14"/>
          <w:color w:val="auto"/>
        </w:rPr>
      </w:pPr>
    </w:p>
    <w:p>
      <w:pPr>
        <w:ind w:left="1020" w:hanging="506"/>
        <w:spacing w:after="0" w:line="290" w:lineRule="auto"/>
        <w:tabs>
          <w:tab w:leader="none" w:pos="836" w:val="left"/>
        </w:tabs>
        <w:numPr>
          <w:ilvl w:val="1"/>
          <w:numId w:val="18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ind w:left="1020" w:hanging="506"/>
        <w:spacing w:after="0" w:line="271" w:lineRule="auto"/>
        <w:tabs>
          <w:tab w:leader="none" w:pos="916" w:val="left"/>
        </w:tabs>
        <w:numPr>
          <w:ilvl w:val="1"/>
          <w:numId w:val="18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left="520" w:hanging="515"/>
        <w:spacing w:after="0" w:line="290" w:lineRule="auto"/>
        <w:tabs>
          <w:tab w:leader="none" w:pos="312"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left="1020" w:hanging="506"/>
        <w:spacing w:after="0" w:line="290" w:lineRule="auto"/>
        <w:tabs>
          <w:tab w:leader="none" w:pos="842" w:val="left"/>
        </w:tabs>
        <w:numPr>
          <w:ilvl w:val="1"/>
          <w:numId w:val="18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right="20" w:firstLine="534"/>
        <w:spacing w:after="0" w:line="416" w:lineRule="auto"/>
        <w:tabs>
          <w:tab w:leader="none" w:pos="851" w:val="left"/>
        </w:tabs>
        <w:numPr>
          <w:ilvl w:val="2"/>
          <w:numId w:val="18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 April 2, 2026</w:t>
      </w:r>
    </w:p>
    <w:p>
      <w:pPr>
        <w:spacing w:after="0" w:line="227"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_</w:t>
      </w:r>
      <w:r>
        <w:rPr>
          <w:rFonts w:ascii="Arial" w:cs="Arial" w:eastAsia="Arial" w:hAnsi="Arial"/>
          <w:sz w:val="14"/>
          <w:szCs w:val="14"/>
          <w:u w:val="single" w:color="auto"/>
          <w:color w:val="auto"/>
        </w:rPr>
        <w:t>/s/ Ariel Cohen</w:t>
      </w:r>
      <w:r>
        <w:rPr>
          <w:rFonts w:ascii="Arial" w:cs="Arial" w:eastAsia="Arial" w:hAnsi="Arial"/>
          <w:sz w:val="14"/>
          <w:szCs w:val="14"/>
          <w:color w:val="auto"/>
        </w:rPr>
        <w:t>_____________________________</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Ariel Cohen</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Chief Executive Officer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p>
      <w:pPr>
        <w:sectPr>
          <w:pgSz w:w="11900" w:h="16838" w:orient="portrait"/>
          <w:cols w:equalWidth="0" w:num="1">
            <w:col w:w="11280"/>
          </w:cols>
          <w:pgMar w:left="300" w:top="1143" w:right="31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3"/>
          <w:szCs w:val="13"/>
          <w:b w:val="1"/>
          <w:bCs w:val="1"/>
          <w:color w:val="auto"/>
        </w:rPr>
        <w:t>CERTIFICATION OF PRINCIPAL FINANCIAL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I, Aurélien Nolf, certify that:</w:t>
      </w:r>
    </w:p>
    <w:p>
      <w:pPr>
        <w:spacing w:after="0" w:line="179" w:lineRule="exact"/>
        <w:rPr>
          <w:sz w:val="20"/>
          <w:szCs w:val="20"/>
          <w:color w:val="auto"/>
        </w:rPr>
      </w:pPr>
    </w:p>
    <w:p>
      <w:pPr>
        <w:ind w:left="280" w:hanging="275"/>
        <w:spacing w:after="0"/>
        <w:tabs>
          <w:tab w:leader="none" w:pos="2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Navan, Inc.;</w:t>
      </w:r>
    </w:p>
    <w:p>
      <w:pPr>
        <w:spacing w:after="0" w:line="93" w:lineRule="exact"/>
        <w:rPr>
          <w:rFonts w:ascii="Arial" w:cs="Arial" w:eastAsia="Arial" w:hAnsi="Arial"/>
          <w:sz w:val="14"/>
          <w:szCs w:val="14"/>
          <w:color w:val="auto"/>
        </w:rPr>
      </w:pPr>
    </w:p>
    <w:p>
      <w:pPr>
        <w:ind w:left="520" w:hanging="515"/>
        <w:spacing w:after="0" w:line="290" w:lineRule="auto"/>
        <w:tabs>
          <w:tab w:leader="none" w:pos="295" w:val="left"/>
        </w:tabs>
        <w:numPr>
          <w:ilvl w:val="0"/>
          <w:numId w:val="19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left="520" w:hanging="515"/>
        <w:spacing w:after="0" w:line="290" w:lineRule="auto"/>
        <w:tabs>
          <w:tab w:leader="none" w:pos="306" w:val="left"/>
        </w:tabs>
        <w:numPr>
          <w:ilvl w:val="0"/>
          <w:numId w:val="19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left="520" w:hanging="515"/>
        <w:spacing w:after="0" w:line="290" w:lineRule="auto"/>
        <w:tabs>
          <w:tab w:leader="none" w:pos="283"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4"/>
          <w:szCs w:val="14"/>
          <w:color w:val="auto"/>
        </w:rPr>
      </w:pPr>
    </w:p>
    <w:p>
      <w:pPr>
        <w:ind w:left="1020" w:hanging="506"/>
        <w:spacing w:after="0" w:line="271" w:lineRule="auto"/>
        <w:tabs>
          <w:tab w:leader="none" w:pos="864" w:val="left"/>
        </w:tabs>
        <w:numPr>
          <w:ilvl w:val="1"/>
          <w:numId w:val="19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left="840" w:hanging="326"/>
        <w:spacing w:after="0"/>
        <w:tabs>
          <w:tab w:leader="none" w:pos="840" w:val="left"/>
        </w:tabs>
        <w:numPr>
          <w:ilvl w:val="1"/>
          <w:numId w:val="190"/>
        </w:numPr>
        <w:rPr>
          <w:rFonts w:ascii="Arial" w:cs="Arial" w:eastAsia="Arial" w:hAnsi="Arial"/>
          <w:sz w:val="14"/>
          <w:szCs w:val="14"/>
          <w:color w:val="auto"/>
        </w:rPr>
      </w:pPr>
      <w:r>
        <w:rPr>
          <w:rFonts w:ascii="Arial" w:cs="Arial" w:eastAsia="Arial" w:hAnsi="Arial"/>
          <w:sz w:val="14"/>
          <w:szCs w:val="14"/>
          <w:color w:val="auto"/>
        </w:rPr>
        <w:t>Reserved;</w:t>
      </w:r>
    </w:p>
    <w:p>
      <w:pPr>
        <w:spacing w:after="0" w:line="93" w:lineRule="exact"/>
        <w:rPr>
          <w:rFonts w:ascii="Arial" w:cs="Arial" w:eastAsia="Arial" w:hAnsi="Arial"/>
          <w:sz w:val="14"/>
          <w:szCs w:val="14"/>
          <w:color w:val="auto"/>
        </w:rPr>
      </w:pPr>
    </w:p>
    <w:p>
      <w:pPr>
        <w:ind w:left="1020" w:hanging="506"/>
        <w:spacing w:after="0" w:line="290" w:lineRule="auto"/>
        <w:tabs>
          <w:tab w:leader="none" w:pos="836" w:val="left"/>
        </w:tabs>
        <w:numPr>
          <w:ilvl w:val="1"/>
          <w:numId w:val="19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ind w:left="1020" w:hanging="506"/>
        <w:spacing w:after="0" w:line="271" w:lineRule="auto"/>
        <w:tabs>
          <w:tab w:leader="none" w:pos="916" w:val="left"/>
        </w:tabs>
        <w:numPr>
          <w:ilvl w:val="1"/>
          <w:numId w:val="19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left="520" w:hanging="515"/>
        <w:spacing w:after="0" w:line="290" w:lineRule="auto"/>
        <w:tabs>
          <w:tab w:leader="none" w:pos="312"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left="1020" w:hanging="506"/>
        <w:spacing w:after="0" w:line="290" w:lineRule="auto"/>
        <w:tabs>
          <w:tab w:leader="none" w:pos="842" w:val="left"/>
        </w:tabs>
        <w:numPr>
          <w:ilvl w:val="1"/>
          <w:numId w:val="19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right="20" w:firstLine="534"/>
        <w:spacing w:after="0" w:line="416" w:lineRule="auto"/>
        <w:tabs>
          <w:tab w:leader="none" w:pos="851" w:val="left"/>
        </w:tabs>
        <w:numPr>
          <w:ilvl w:val="2"/>
          <w:numId w:val="19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 April 2, 2026</w:t>
      </w:r>
    </w:p>
    <w:p>
      <w:pPr>
        <w:spacing w:after="0" w:line="227"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_</w:t>
      </w:r>
      <w:r>
        <w:rPr>
          <w:rFonts w:ascii="Arial" w:cs="Arial" w:eastAsia="Arial" w:hAnsi="Arial"/>
          <w:sz w:val="14"/>
          <w:szCs w:val="14"/>
          <w:u w:val="single" w:color="auto"/>
          <w:color w:val="auto"/>
        </w:rPr>
        <w:t>/s/ Aurélien Nolf</w:t>
      </w:r>
      <w:r>
        <w:rPr>
          <w:rFonts w:ascii="Arial" w:cs="Arial" w:eastAsia="Arial" w:hAnsi="Arial"/>
          <w:sz w:val="14"/>
          <w:szCs w:val="14"/>
          <w:color w:val="auto"/>
        </w:rPr>
        <w:t>___________________________</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Aurélien Nolf</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Chief Financial Officer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Officer</w:t>
      </w:r>
      <w:r>
        <w:rPr>
          <w:rFonts w:ascii="Arial" w:cs="Arial" w:eastAsia="Arial" w:hAnsi="Arial"/>
          <w:sz w:val="14"/>
          <w:szCs w:val="14"/>
          <w:color w:val="auto"/>
        </w:rPr>
        <w:t>)</w:t>
      </w:r>
    </w:p>
    <w:p>
      <w:pPr>
        <w:sectPr>
          <w:pgSz w:w="11900" w:h="16838" w:orient="portrait"/>
          <w:cols w:equalWidth="0" w:num="1">
            <w:col w:w="11280"/>
          </w:cols>
          <w:pgMar w:left="300" w:top="1147" w:right="31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4"/>
          <w:szCs w:val="14"/>
          <w:b w:val="1"/>
          <w:bCs w:val="1"/>
          <w:color w:val="auto"/>
        </w:rPr>
        <w:t>CERTIFICATION OF PRINCIPAL EXECUTIVE OFFICER PURSUANT TO</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the requirement set forth in Rule 13a-14(b) of the Securities Exchange Act of 1934, as amended (the “Exchange Act”), and Section 1350 of Chapter 63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Title 18 of the United States Code (18 U.S.C. §1350), </w:t>
      </w:r>
      <w:r>
        <w:rPr>
          <w:rFonts w:ascii="Arial" w:cs="Arial" w:eastAsia="Arial" w:hAnsi="Arial"/>
          <w:sz w:val="14"/>
          <w:szCs w:val="14"/>
          <w:color w:val="auto"/>
        </w:rPr>
        <w:t>Ariel Cohen, Chief Executive Officer of Navan, Inc. (the “Company”), hereby certifies that, to the best of his knowledge:</w:t>
      </w:r>
    </w:p>
    <w:p>
      <w:pPr>
        <w:spacing w:after="0" w:line="165" w:lineRule="exact"/>
        <w:rPr>
          <w:sz w:val="20"/>
          <w:szCs w:val="20"/>
          <w:color w:val="auto"/>
        </w:rPr>
      </w:pPr>
    </w:p>
    <w:p>
      <w:pPr>
        <w:ind w:left="520" w:hanging="515"/>
        <w:spacing w:after="0" w:line="290" w:lineRule="auto"/>
        <w:tabs>
          <w:tab w:leader="none" w:pos="521" w:val="left"/>
        </w:tabs>
        <w:numPr>
          <w:ilvl w:val="0"/>
          <w:numId w:val="191"/>
        </w:numPr>
        <w:rPr>
          <w:rFonts w:ascii="Arial" w:cs="Arial" w:eastAsia="Arial" w:hAnsi="Arial"/>
          <w:sz w:val="14"/>
          <w:szCs w:val="14"/>
          <w:b w:val="1"/>
          <w:bCs w:val="1"/>
          <w:color w:val="auto"/>
        </w:rPr>
      </w:pPr>
      <w:r>
        <w:rPr>
          <w:rFonts w:ascii="Arial" w:cs="Arial" w:eastAsia="Arial" w:hAnsi="Arial"/>
          <w:sz w:val="14"/>
          <w:szCs w:val="14"/>
          <w:color w:val="auto"/>
        </w:rPr>
        <w:t>The Company’s Annual Report on Form 10-K for the period ended January 31, 2026, to which this Certification is attached as Exhibit 32.1 (the “Annual Report”), fully complies with the requirements of Section 13(a) or Section 15(d) of the Exchange Act; and</w:t>
      </w:r>
    </w:p>
    <w:p>
      <w:pPr>
        <w:spacing w:after="0" w:line="120" w:lineRule="exact"/>
        <w:rPr>
          <w:rFonts w:ascii="Arial" w:cs="Arial" w:eastAsia="Arial" w:hAnsi="Arial"/>
          <w:sz w:val="14"/>
          <w:szCs w:val="14"/>
          <w:b w:val="1"/>
          <w:bCs w:val="1"/>
          <w:color w:val="auto"/>
        </w:rPr>
      </w:pPr>
    </w:p>
    <w:p>
      <w:pPr>
        <w:ind w:left="520" w:hanging="515"/>
        <w:spacing w:after="0"/>
        <w:tabs>
          <w:tab w:leader="none" w:pos="520" w:val="left"/>
        </w:tabs>
        <w:numPr>
          <w:ilvl w:val="0"/>
          <w:numId w:val="191"/>
        </w:numPr>
        <w:rPr>
          <w:rFonts w:ascii="Arial" w:cs="Arial" w:eastAsia="Arial" w:hAnsi="Arial"/>
          <w:sz w:val="14"/>
          <w:szCs w:val="14"/>
          <w:b w:val="1"/>
          <w:bCs w:val="1"/>
          <w:color w:val="auto"/>
        </w:rPr>
      </w:pPr>
      <w:r>
        <w:rPr>
          <w:rFonts w:ascii="Arial" w:cs="Arial" w:eastAsia="Arial" w:hAnsi="Arial"/>
          <w:sz w:val="14"/>
          <w:szCs w:val="14"/>
          <w:color w:val="auto"/>
        </w:rPr>
        <w:t>The information contained in the Annual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Dated: April 2, 2026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_</w:t>
      </w:r>
      <w:r>
        <w:rPr>
          <w:rFonts w:ascii="Arial" w:cs="Arial" w:eastAsia="Arial" w:hAnsi="Arial"/>
          <w:sz w:val="14"/>
          <w:szCs w:val="14"/>
          <w:u w:val="single" w:color="auto"/>
          <w:color w:val="auto"/>
        </w:rPr>
        <w:t>/s/ Ariel Cohen</w:t>
      </w:r>
      <w:r>
        <w:rPr>
          <w:rFonts w:ascii="Arial" w:cs="Arial" w:eastAsia="Arial" w:hAnsi="Arial"/>
          <w:sz w:val="14"/>
          <w:szCs w:val="14"/>
          <w:color w:val="auto"/>
        </w:rPr>
        <w:t>_____________________________</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Ariel Cohen</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Chief Executive Officer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p>
      <w:pPr>
        <w:spacing w:after="0" w:line="3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This certification accompanies the Form 10-K to which it relates, is not deemed filed with the Securities and Exchange Commission and is not to be incorporated by reference into any filing of Navan, Inc.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80"/>
          </w:cols>
          <w:pgMar w:left="300" w:top="1143" w:right="31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4"/>
          <w:szCs w:val="14"/>
          <w:b w:val="1"/>
          <w:bCs w:val="1"/>
          <w:color w:val="auto"/>
        </w:rPr>
        <w:t>CERTIFICATION OF PRINCIPAL FINANCIAL OFFICER PURSUANT TO</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the requirement set forth in Rule 13a-14(b) of the Securities Exchange Act of 1934, as amended (the “Exchange Act”), and Section 1350 of Chapter 63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Title 18 of the United States Code (18 U.S.C. §1350), </w:t>
      </w:r>
      <w:r>
        <w:rPr>
          <w:rFonts w:ascii="Arial" w:cs="Arial" w:eastAsia="Arial" w:hAnsi="Arial"/>
          <w:sz w:val="14"/>
          <w:szCs w:val="14"/>
          <w:color w:val="auto"/>
        </w:rPr>
        <w:t>Aurélien Nolf, Chief Financial Officer of Navan, Inc. (the “Company”), hereby certifies that, to the best of his knowledge:</w:t>
      </w:r>
    </w:p>
    <w:p>
      <w:pPr>
        <w:spacing w:after="0" w:line="165" w:lineRule="exact"/>
        <w:rPr>
          <w:sz w:val="20"/>
          <w:szCs w:val="20"/>
          <w:color w:val="auto"/>
        </w:rPr>
      </w:pPr>
    </w:p>
    <w:p>
      <w:pPr>
        <w:ind w:left="520" w:hanging="515"/>
        <w:spacing w:after="0" w:line="290" w:lineRule="auto"/>
        <w:tabs>
          <w:tab w:leader="none" w:pos="521" w:val="left"/>
        </w:tabs>
        <w:numPr>
          <w:ilvl w:val="0"/>
          <w:numId w:val="192"/>
        </w:numPr>
        <w:rPr>
          <w:rFonts w:ascii="Arial" w:cs="Arial" w:eastAsia="Arial" w:hAnsi="Arial"/>
          <w:sz w:val="14"/>
          <w:szCs w:val="14"/>
          <w:b w:val="1"/>
          <w:bCs w:val="1"/>
          <w:color w:val="auto"/>
        </w:rPr>
      </w:pPr>
      <w:r>
        <w:rPr>
          <w:rFonts w:ascii="Arial" w:cs="Arial" w:eastAsia="Arial" w:hAnsi="Arial"/>
          <w:sz w:val="14"/>
          <w:szCs w:val="14"/>
          <w:color w:val="auto"/>
        </w:rPr>
        <w:t>The Company’s Annual Report on Form 10-K for the period ended January 31, 2026, to which this Certification is attached as Exhibit 32.2 (the “Annual Report”), fully complies with the requirements of Section 13(a) or Section 15(d) of the Exchange Act; and</w:t>
      </w:r>
    </w:p>
    <w:p>
      <w:pPr>
        <w:spacing w:after="0" w:line="120" w:lineRule="exact"/>
        <w:rPr>
          <w:rFonts w:ascii="Arial" w:cs="Arial" w:eastAsia="Arial" w:hAnsi="Arial"/>
          <w:sz w:val="14"/>
          <w:szCs w:val="14"/>
          <w:b w:val="1"/>
          <w:bCs w:val="1"/>
          <w:color w:val="auto"/>
        </w:rPr>
      </w:pPr>
    </w:p>
    <w:p>
      <w:pPr>
        <w:ind w:left="520" w:hanging="515"/>
        <w:spacing w:after="0"/>
        <w:tabs>
          <w:tab w:leader="none" w:pos="520" w:val="left"/>
        </w:tabs>
        <w:numPr>
          <w:ilvl w:val="0"/>
          <w:numId w:val="192"/>
        </w:numPr>
        <w:rPr>
          <w:rFonts w:ascii="Arial" w:cs="Arial" w:eastAsia="Arial" w:hAnsi="Arial"/>
          <w:sz w:val="14"/>
          <w:szCs w:val="14"/>
          <w:b w:val="1"/>
          <w:bCs w:val="1"/>
          <w:color w:val="auto"/>
        </w:rPr>
      </w:pPr>
      <w:r>
        <w:rPr>
          <w:rFonts w:ascii="Arial" w:cs="Arial" w:eastAsia="Arial" w:hAnsi="Arial"/>
          <w:sz w:val="14"/>
          <w:szCs w:val="14"/>
          <w:color w:val="auto"/>
        </w:rPr>
        <w:t>The information contained in the Annual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Dated: April 2, 2026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_</w:t>
      </w:r>
      <w:r>
        <w:rPr>
          <w:rFonts w:ascii="Arial" w:cs="Arial" w:eastAsia="Arial" w:hAnsi="Arial"/>
          <w:sz w:val="14"/>
          <w:szCs w:val="14"/>
          <w:u w:val="single" w:color="auto"/>
          <w:color w:val="auto"/>
        </w:rPr>
        <w:t>/s/ Aurélien Nolf</w:t>
      </w:r>
      <w:r>
        <w:rPr>
          <w:rFonts w:ascii="Arial" w:cs="Arial" w:eastAsia="Arial" w:hAnsi="Arial"/>
          <w:sz w:val="14"/>
          <w:szCs w:val="14"/>
          <w:color w:val="auto"/>
        </w:rPr>
        <w:t>___________________________</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Aurélien Nolf</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Chief Financial Officer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Officer</w:t>
      </w:r>
      <w:r>
        <w:rPr>
          <w:rFonts w:ascii="Arial" w:cs="Arial" w:eastAsia="Arial" w:hAnsi="Arial"/>
          <w:sz w:val="14"/>
          <w:szCs w:val="14"/>
          <w:color w:val="auto"/>
        </w:rPr>
        <w:t>)</w:t>
      </w:r>
    </w:p>
    <w:p>
      <w:pPr>
        <w:spacing w:after="0" w:line="3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This certification accompanies the Form 10-K to which it relates, is not deemed filed with the Securities and Exchange Commission and is not to be incorporated by reference into any filing of Navan, Inc.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80"/>
          </w:cols>
          <w:pgMar w:left="300" w:top="1143" w:right="319" w:bottom="1440" w:gutter="0" w:footer="0" w:header="0"/>
        </w:sectPr>
      </w:pPr>
    </w:p>
    <w:bookmarkStart w:id="337" w:name="page338"/>
    <w:bookmarkEnd w:id="337"/>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NAVAN,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Incentive Compensation Recoupment Policy</w:t>
      </w:r>
    </w:p>
    <w:p>
      <w:pPr>
        <w:spacing w:after="0" w:line="156" w:lineRule="exact"/>
        <w:rPr>
          <w:sz w:val="20"/>
          <w:szCs w:val="20"/>
          <w:color w:val="auto"/>
        </w:rPr>
      </w:pPr>
    </w:p>
    <w:p>
      <w:pPr>
        <w:ind w:left="520" w:hanging="515"/>
        <w:spacing w:after="0"/>
        <w:tabs>
          <w:tab w:leader="none" w:pos="520" w:val="left"/>
        </w:tabs>
        <w:numPr>
          <w:ilvl w:val="0"/>
          <w:numId w:val="1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15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6"/>
          <w:szCs w:val="16"/>
          <w:color w:val="auto"/>
        </w:rPr>
        <w:t>The Compensation Committee (the “</w:t>
      </w: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of the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of Navan,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26"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6"/>
          <w:szCs w:val="16"/>
          <w:b w:val="1"/>
          <w:bCs w:val="1"/>
          <w:i w:val="1"/>
          <w:iCs w:val="1"/>
          <w:color w:val="auto"/>
        </w:rPr>
        <w:t>Rule 10D-1</w:t>
      </w:r>
      <w:r>
        <w:rPr>
          <w:rFonts w:ascii="Times New Roman" w:cs="Times New Roman" w:eastAsia="Times New Roman" w:hAnsi="Times New Roman"/>
          <w:sz w:val="16"/>
          <w:szCs w:val="16"/>
          <w:color w:val="auto"/>
        </w:rPr>
        <w:t>”) and Nasdaq Listing Rule 5608 (the “</w:t>
      </w:r>
      <w:r>
        <w:rPr>
          <w:rFonts w:ascii="Times New Roman" w:cs="Times New Roman" w:eastAsia="Times New Roman" w:hAnsi="Times New Roman"/>
          <w:sz w:val="16"/>
          <w:szCs w:val="16"/>
          <w:b w:val="1"/>
          <w:bCs w:val="1"/>
          <w:i w:val="1"/>
          <w:iCs w:val="1"/>
          <w:color w:val="auto"/>
        </w:rPr>
        <w:t>Listing Standards</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ind w:left="520" w:hanging="515"/>
        <w:spacing w:after="0"/>
        <w:tabs>
          <w:tab w:leader="none" w:pos="520" w:val="left"/>
        </w:tabs>
        <w:numPr>
          <w:ilvl w:val="0"/>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 Date</w:t>
      </w:r>
    </w:p>
    <w:p>
      <w:pPr>
        <w:spacing w:after="0" w:line="1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color w:val="auto"/>
        </w:rPr>
        <w:t>This Policy shall apply to all Incentive Compensation that is received by a Covered Officer on or after October 29, 2025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Incentive Compensation is deemed “</w:t>
      </w:r>
      <w:r>
        <w:rPr>
          <w:rFonts w:ascii="Times New Roman" w:cs="Times New Roman" w:eastAsia="Times New Roman" w:hAnsi="Times New Roman"/>
          <w:sz w:val="16"/>
          <w:szCs w:val="16"/>
          <w:b w:val="1"/>
          <w:bCs w:val="1"/>
          <w:i w:val="1"/>
          <w:iCs w:val="1"/>
          <w:color w:val="auto"/>
        </w:rPr>
        <w:t>received</w:t>
      </w:r>
      <w:r>
        <w:rPr>
          <w:rFonts w:ascii="Times New Roman" w:cs="Times New Roman" w:eastAsia="Times New Roman" w:hAnsi="Times New Roman"/>
          <w:sz w:val="16"/>
          <w:szCs w:val="16"/>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24" w:lineRule="exact"/>
        <w:rPr>
          <w:sz w:val="20"/>
          <w:szCs w:val="20"/>
          <w:color w:val="auto"/>
        </w:rPr>
      </w:pPr>
    </w:p>
    <w:p>
      <w:pPr>
        <w:ind w:left="520" w:hanging="515"/>
        <w:spacing w:after="0"/>
        <w:tabs>
          <w:tab w:leader="none" w:pos="520" w:val="left"/>
        </w:tabs>
        <w:numPr>
          <w:ilvl w:val="0"/>
          <w:numId w:val="1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p>
    <w:p>
      <w:pPr>
        <w:spacing w:after="0" w:line="156" w:lineRule="exact"/>
        <w:rPr>
          <w:sz w:val="20"/>
          <w:szCs w:val="20"/>
          <w:color w:val="auto"/>
        </w:rPr>
      </w:pPr>
    </w:p>
    <w:p>
      <w:pPr>
        <w:jc w:val="both"/>
        <w:ind w:firstLine="573"/>
        <w:spacing w:after="0" w:line="30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Accounting Restatement</w:t>
      </w:r>
      <w:r>
        <w:rPr>
          <w:rFonts w:ascii="Times New Roman" w:cs="Times New Roman" w:eastAsia="Times New Roman" w:hAnsi="Times New Roman"/>
          <w:sz w:val="14"/>
          <w:szCs w:val="14"/>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0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Accounting Restatement Date</w:t>
      </w:r>
      <w:r>
        <w:rPr>
          <w:rFonts w:ascii="Times New Roman" w:cs="Times New Roman" w:eastAsia="Times New Roman" w:hAnsi="Times New Roman"/>
          <w:sz w:val="16"/>
          <w:szCs w:val="16"/>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means the Compensation Committee or, in the absence of such committee, the Board.</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U.S. Internal Revenue Code of 1986, as amended, and the regulations promulgated thereunder.</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Officer</w:t>
      </w:r>
      <w:r>
        <w:rPr>
          <w:rFonts w:ascii="Times New Roman" w:cs="Times New Roman" w:eastAsia="Times New Roman" w:hAnsi="Times New Roman"/>
          <w:sz w:val="16"/>
          <w:szCs w:val="16"/>
          <w:color w:val="auto"/>
        </w:rPr>
        <w:t>” means each current and former Executive Officer.</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means the Nasdaq Stock Market.</w:t>
      </w:r>
    </w:p>
    <w:p>
      <w:pPr>
        <w:sectPr>
          <w:pgSz w:w="11900" w:h="16838" w:orient="portrait"/>
          <w:cols w:equalWidth="0" w:num="1">
            <w:col w:w="11280"/>
          </w:cols>
          <w:pgMar w:left="300" w:top="1440" w:right="319" w:bottom="1440" w:gutter="0" w:footer="0" w:header="0"/>
        </w:sectPr>
      </w:pPr>
    </w:p>
    <w:bookmarkStart w:id="338" w:name="page339"/>
    <w:bookmarkEnd w:id="338"/>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U.S. Securities Exchange Act of 1934, as amended.</w:t>
      </w:r>
    </w:p>
    <w:p>
      <w:pPr>
        <w:spacing w:after="0" w:line="15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Executive Officer</w:t>
      </w:r>
      <w:r>
        <w:rPr>
          <w:rFonts w:ascii="Times New Roman" w:cs="Times New Roman" w:eastAsia="Times New Roman" w:hAnsi="Times New Roman"/>
          <w:sz w:val="16"/>
          <w:szCs w:val="16"/>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3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Financial Reporting Measures</w:t>
      </w:r>
      <w:r>
        <w:rPr>
          <w:rFonts w:ascii="Times New Roman" w:cs="Times New Roman" w:eastAsia="Times New Roman" w:hAnsi="Times New Roman"/>
          <w:sz w:val="16"/>
          <w:szCs w:val="16"/>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6"/>
          <w:szCs w:val="16"/>
          <w:b w:val="1"/>
          <w:bCs w:val="1"/>
          <w:i w:val="1"/>
          <w:iCs w:val="1"/>
          <w:color w:val="auto"/>
        </w:rPr>
        <w:t>TSR</w:t>
      </w:r>
      <w:r>
        <w:rPr>
          <w:rFonts w:ascii="Times New Roman" w:cs="Times New Roman" w:eastAsia="Times New Roman" w:hAnsi="Times New Roman"/>
          <w:sz w:val="16"/>
          <w:szCs w:val="16"/>
          <w:color w:val="auto"/>
        </w:rPr>
        <w:t>”). A measure need not be presented in the Company’s financial statements or included in a filing with the SEC in order to be a Financial Reporting Measure.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Incentive Compensation</w:t>
      </w:r>
      <w:r>
        <w:rPr>
          <w:rFonts w:ascii="Times New Roman" w:cs="Times New Roman" w:eastAsia="Times New Roman" w:hAnsi="Times New Roman"/>
          <w:sz w:val="16"/>
          <w:szCs w:val="16"/>
          <w:color w:val="auto"/>
        </w:rPr>
        <w:t>” means any compensation that is granted, earned or vested based wholly or in part upon the attainment of a Financial Reporting Measure.</w:t>
      </w:r>
    </w:p>
    <w:p>
      <w:pPr>
        <w:spacing w:after="0" w:line="15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Lookback Period</w:t>
      </w:r>
      <w:r>
        <w:rPr>
          <w:rFonts w:ascii="Times New Roman" w:cs="Times New Roman" w:eastAsia="Times New Roman" w:hAnsi="Times New Roman"/>
          <w:sz w:val="16"/>
          <w:szCs w:val="16"/>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3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Recoverable Incentive Compensation</w:t>
      </w:r>
      <w:r>
        <w:rPr>
          <w:rFonts w:ascii="Times New Roman" w:cs="Times New Roman" w:eastAsia="Times New Roman" w:hAnsi="Times New Roman"/>
          <w:sz w:val="14"/>
          <w:szCs w:val="14"/>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means the U.S. Securities and Exchange Commission.</w:t>
      </w:r>
    </w:p>
    <w:p>
      <w:pPr>
        <w:spacing w:after="0" w:line="156" w:lineRule="exact"/>
        <w:rPr>
          <w:sz w:val="20"/>
          <w:szCs w:val="20"/>
          <w:color w:val="auto"/>
        </w:rPr>
      </w:pPr>
    </w:p>
    <w:p>
      <w:pPr>
        <w:ind w:left="520" w:hanging="515"/>
        <w:spacing w:after="0"/>
        <w:tabs>
          <w:tab w:leader="none" w:pos="520" w:val="left"/>
        </w:tabs>
        <w:numPr>
          <w:ilvl w:val="0"/>
          <w:numId w:val="1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Recoupment</w:t>
      </w:r>
    </w:p>
    <w:p>
      <w:pPr>
        <w:spacing w:after="0" w:line="166" w:lineRule="exact"/>
        <w:rPr>
          <w:rFonts w:ascii="Times New Roman" w:cs="Times New Roman" w:eastAsia="Times New Roman" w:hAnsi="Times New Roman"/>
          <w:sz w:val="16"/>
          <w:szCs w:val="16"/>
          <w:b w:val="1"/>
          <w:bCs w:val="1"/>
          <w:color w:val="auto"/>
        </w:rPr>
      </w:pPr>
    </w:p>
    <w:p>
      <w:pPr>
        <w:ind w:firstLine="514"/>
        <w:spacing w:after="0" w:line="262" w:lineRule="auto"/>
        <w:tabs>
          <w:tab w:leader="none" w:pos="1009" w:val="left"/>
        </w:tabs>
        <w:numPr>
          <w:ilvl w:val="1"/>
          <w:numId w:val="1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Applicability of Policy. </w:t>
      </w:r>
      <w:r>
        <w:rPr>
          <w:rFonts w:ascii="Times New Roman" w:cs="Times New Roman" w:eastAsia="Times New Roman" w:hAnsi="Times New Roman"/>
          <w:sz w:val="16"/>
          <w:szCs w:val="16"/>
          <w:color w:val="auto"/>
        </w:rPr>
        <w:t>This Policy applies to Incentive Compensation received by a Covered Officer (i) after beginning services as an Executive Officer, (ii)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served as an Executive Officer at any time during the performance period for such Incentive Compensation, (iii) while the</w:t>
      </w:r>
    </w:p>
    <w:p>
      <w:pPr>
        <w:sectPr>
          <w:pgSz w:w="11900" w:h="16838" w:orient="portrait"/>
          <w:cols w:equalWidth="0" w:num="1">
            <w:col w:w="11280"/>
          </w:cols>
          <w:pgMar w:left="300" w:top="1137" w:right="31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6"/>
          <w:szCs w:val="16"/>
          <w:color w:val="auto"/>
        </w:rPr>
        <w:t>Company had a class of securities listed on a national securities exchange or a national securities association, and (iv) during the Lookback Period.</w:t>
      </w:r>
    </w:p>
    <w:p>
      <w:pPr>
        <w:spacing w:after="0" w:line="154" w:lineRule="exact"/>
        <w:rPr>
          <w:sz w:val="20"/>
          <w:szCs w:val="20"/>
          <w:color w:val="auto"/>
        </w:rPr>
      </w:pPr>
    </w:p>
    <w:p>
      <w:pPr>
        <w:jc w:val="both"/>
        <w:ind w:firstLine="514"/>
        <w:spacing w:after="0" w:line="252" w:lineRule="auto"/>
        <w:tabs>
          <w:tab w:leader="none" w:pos="1018" w:val="left"/>
        </w:tabs>
        <w:numPr>
          <w:ilvl w:val="0"/>
          <w:numId w:val="1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Recoupment Generally. </w:t>
      </w:r>
      <w:r>
        <w:rPr>
          <w:rFonts w:ascii="Times New Roman" w:cs="Times New Roman" w:eastAsia="Times New Roman" w:hAnsi="Times New Roman"/>
          <w:sz w:val="16"/>
          <w:szCs w:val="16"/>
          <w:color w:val="auto"/>
        </w:rPr>
        <w:t>Pursuant to the provisions of this Policy, if there is an Accounting Restatement, the Company must reasonably promptly recoup the full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26"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0"/>
          <w:numId w:val="1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Impracticability of Recovery. </w:t>
      </w:r>
      <w:r>
        <w:rPr>
          <w:rFonts w:ascii="Times New Roman" w:cs="Times New Roman" w:eastAsia="Times New Roman" w:hAnsi="Times New Roman"/>
          <w:sz w:val="16"/>
          <w:szCs w:val="16"/>
          <w:color w:val="auto"/>
        </w:rPr>
        <w:t>Recoupment may be determined to be impracticable if, and only if:</w:t>
      </w:r>
    </w:p>
    <w:p>
      <w:pPr>
        <w:spacing w:after="0" w:line="157" w:lineRule="exact"/>
        <w:rPr>
          <w:rFonts w:ascii="Times New Roman" w:cs="Times New Roman" w:eastAsia="Times New Roman" w:hAnsi="Times New Roman"/>
          <w:sz w:val="16"/>
          <w:szCs w:val="16"/>
          <w:b w:val="1"/>
          <w:bCs w:val="1"/>
          <w:color w:val="auto"/>
        </w:rPr>
      </w:pPr>
    </w:p>
    <w:p>
      <w:pPr>
        <w:jc w:val="both"/>
        <w:ind w:left="520" w:firstLine="503"/>
        <w:spacing w:after="0" w:line="252" w:lineRule="auto"/>
        <w:tabs>
          <w:tab w:leader="none" w:pos="1537"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29" w:lineRule="exact"/>
        <w:rPr>
          <w:rFonts w:ascii="Times New Roman" w:cs="Times New Roman" w:eastAsia="Times New Roman" w:hAnsi="Times New Roman"/>
          <w:sz w:val="16"/>
          <w:szCs w:val="16"/>
          <w:color w:val="auto"/>
        </w:rPr>
      </w:pPr>
    </w:p>
    <w:p>
      <w:pPr>
        <w:ind w:left="520" w:firstLine="503"/>
        <w:spacing w:after="0" w:line="273" w:lineRule="auto"/>
        <w:tabs>
          <w:tab w:leader="none" w:pos="1537"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09" w:lineRule="exact"/>
        <w:rPr>
          <w:rFonts w:ascii="Times New Roman" w:cs="Times New Roman" w:eastAsia="Times New Roman" w:hAnsi="Times New Roman"/>
          <w:sz w:val="16"/>
          <w:szCs w:val="16"/>
          <w:color w:val="auto"/>
        </w:rPr>
      </w:pPr>
    </w:p>
    <w:p>
      <w:pPr>
        <w:jc w:val="both"/>
        <w:ind w:firstLine="514"/>
        <w:spacing w:after="0" w:line="287" w:lineRule="auto"/>
        <w:tabs>
          <w:tab w:leader="none" w:pos="1018" w:val="left"/>
        </w:tabs>
        <w:numPr>
          <w:ilvl w:val="0"/>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Sources of Recoupment. </w:t>
      </w:r>
      <w:r>
        <w:rPr>
          <w:rFonts w:ascii="Times New Roman" w:cs="Times New Roman" w:eastAsia="Times New Roman" w:hAnsi="Times New Roman"/>
          <w:sz w:val="14"/>
          <w:szCs w:val="14"/>
          <w:color w:val="auto"/>
        </w:rPr>
        <w:t>To the extent permitted by applicable law, the Administrator shall, in its sole discretion, determine the timing and method for recouping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295" w:lineRule="exact"/>
        <w:rPr>
          <w:rFonts w:ascii="Times New Roman" w:cs="Times New Roman" w:eastAsia="Times New Roman" w:hAnsi="Times New Roman"/>
          <w:sz w:val="14"/>
          <w:szCs w:val="14"/>
          <w:b w:val="1"/>
          <w:bCs w:val="1"/>
          <w:color w:val="auto"/>
        </w:rPr>
      </w:pPr>
    </w:p>
    <w:p>
      <w:pPr>
        <w:jc w:val="both"/>
        <w:ind w:firstLine="514"/>
        <w:spacing w:after="0" w:line="255" w:lineRule="auto"/>
        <w:tabs>
          <w:tab w:leader="none" w:pos="1011" w:val="left"/>
        </w:tabs>
        <w:numPr>
          <w:ilvl w:val="0"/>
          <w:numId w:val="1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Indemnification of Covered Officers. </w:t>
      </w:r>
      <w:r>
        <w:rPr>
          <w:rFonts w:ascii="Times New Roman" w:cs="Times New Roman" w:eastAsia="Times New Roman" w:hAnsi="Times New Roman"/>
          <w:sz w:val="16"/>
          <w:szCs w:val="16"/>
          <w:color w:val="auto"/>
        </w:rPr>
        <w:t>Notwithstanding any indemnification agreement, applicable insurance policy or any other agreement or provision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certificate of incorporation or bylaws to the contrary, no Covered Officer shall be entitled to indemnification or advancement of expenses in connection with any enforcement of this Policy by the Company, including</w:t>
      </w:r>
    </w:p>
    <w:p>
      <w:pPr>
        <w:sectPr>
          <w:pgSz w:w="11900" w:h="16838" w:orient="portrait"/>
          <w:cols w:equalWidth="0" w:num="1">
            <w:col w:w="11280"/>
          </w:cols>
          <w:pgMar w:left="300" w:top="1139" w:right="31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6"/>
          <w:szCs w:val="16"/>
          <w:color w:val="auto"/>
        </w:rPr>
        <w:t>paying or reimbursing such Covered Officer for insurance premiums to cover potential obligations to the Company under this Policy.</w:t>
      </w:r>
    </w:p>
    <w:p>
      <w:pPr>
        <w:spacing w:after="0" w:line="154" w:lineRule="exact"/>
        <w:rPr>
          <w:sz w:val="20"/>
          <w:szCs w:val="20"/>
          <w:color w:val="auto"/>
        </w:rPr>
      </w:pPr>
    </w:p>
    <w:p>
      <w:pPr>
        <w:jc w:val="both"/>
        <w:ind w:firstLine="514"/>
        <w:spacing w:after="0" w:line="253" w:lineRule="auto"/>
        <w:tabs>
          <w:tab w:leader="none" w:pos="1015" w:val="left"/>
        </w:tabs>
        <w:numPr>
          <w:ilvl w:val="1"/>
          <w:numId w:val="1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Indemnification of Administrator. </w:t>
      </w:r>
      <w:r>
        <w:rPr>
          <w:rFonts w:ascii="Times New Roman" w:cs="Times New Roman" w:eastAsia="Times New Roman" w:hAnsi="Times New Roman"/>
          <w:sz w:val="16"/>
          <w:szCs w:val="16"/>
          <w:color w:val="auto"/>
        </w:rPr>
        <w:t>Any members of the Administrator, and any other members of the Board who assist in the administration of this Policy,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26" w:lineRule="exact"/>
        <w:rPr>
          <w:rFonts w:ascii="Times New Roman" w:cs="Times New Roman" w:eastAsia="Times New Roman" w:hAnsi="Times New Roman"/>
          <w:sz w:val="16"/>
          <w:szCs w:val="16"/>
          <w:b w:val="1"/>
          <w:bCs w:val="1"/>
          <w:color w:val="auto"/>
        </w:rPr>
      </w:pPr>
    </w:p>
    <w:p>
      <w:pPr>
        <w:jc w:val="both"/>
        <w:ind w:firstLine="514"/>
        <w:spacing w:after="0" w:line="255" w:lineRule="auto"/>
        <w:tabs>
          <w:tab w:leader="none" w:pos="1009" w:val="left"/>
        </w:tabs>
        <w:numPr>
          <w:ilvl w:val="1"/>
          <w:numId w:val="1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“Good Reason” for Covered Officers. </w:t>
      </w:r>
      <w:r>
        <w:rPr>
          <w:rFonts w:ascii="Times New Roman" w:cs="Times New Roman" w:eastAsia="Times New Roman" w:hAnsi="Times New Roman"/>
          <w:sz w:val="16"/>
          <w:szCs w:val="16"/>
          <w:color w:val="auto"/>
        </w:rPr>
        <w:t>Any action by the Company to recoup or any recoupment of Recoverable Incentive Compensation under this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35" w:lineRule="exact"/>
        <w:rPr>
          <w:rFonts w:ascii="Times New Roman" w:cs="Times New Roman" w:eastAsia="Times New Roman" w:hAnsi="Times New Roman"/>
          <w:sz w:val="16"/>
          <w:szCs w:val="16"/>
          <w:b w:val="1"/>
          <w:bCs w:val="1"/>
          <w:color w:val="auto"/>
        </w:rPr>
      </w:pPr>
    </w:p>
    <w:p>
      <w:pPr>
        <w:ind w:left="520" w:hanging="515"/>
        <w:spacing w:after="0"/>
        <w:tabs>
          <w:tab w:leader="none" w:pos="520" w:val="left"/>
        </w:tabs>
        <w:numPr>
          <w:ilvl w:val="0"/>
          <w:numId w:val="1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Administration</w:t>
      </w:r>
    </w:p>
    <w:p>
      <w:pPr>
        <w:spacing w:after="0" w:line="158"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31" w:lineRule="exact"/>
        <w:rPr>
          <w:sz w:val="20"/>
          <w:szCs w:val="20"/>
          <w:color w:val="auto"/>
        </w:rPr>
      </w:pPr>
    </w:p>
    <w:p>
      <w:pPr>
        <w:ind w:left="520" w:hanging="515"/>
        <w:spacing w:after="0"/>
        <w:tabs>
          <w:tab w:leader="none" w:pos="520" w:val="left"/>
        </w:tabs>
        <w:numPr>
          <w:ilvl w:val="0"/>
          <w:numId w:val="2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Severability</w:t>
      </w:r>
    </w:p>
    <w:p>
      <w:pPr>
        <w:spacing w:after="0" w:line="15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25" w:lineRule="exact"/>
        <w:rPr>
          <w:sz w:val="20"/>
          <w:szCs w:val="20"/>
          <w:color w:val="auto"/>
        </w:rPr>
      </w:pPr>
    </w:p>
    <w:p>
      <w:pPr>
        <w:ind w:left="520" w:hanging="515"/>
        <w:spacing w:after="0"/>
        <w:tabs>
          <w:tab w:leader="none" w:pos="520"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Impairment of Other Remedies</w:t>
      </w:r>
    </w:p>
    <w:p>
      <w:pPr>
        <w:spacing w:after="0" w:line="168"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6"/>
          <w:szCs w:val="16"/>
          <w:b w:val="1"/>
          <w:bCs w:val="1"/>
          <w:color w:val="auto"/>
        </w:rPr>
        <w:t>SOX 304</w:t>
      </w:r>
      <w:r>
        <w:rPr>
          <w:rFonts w:ascii="Times New Roman" w:cs="Times New Roman" w:eastAsia="Times New Roman" w:hAnsi="Times New Roman"/>
          <w:sz w:val="16"/>
          <w:szCs w:val="16"/>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w:t>
      </w:r>
    </w:p>
    <w:p>
      <w:pPr>
        <w:sectPr>
          <w:pgSz w:w="11900" w:h="16838" w:orient="portrait"/>
          <w:cols w:equalWidth="0" w:num="1">
            <w:col w:w="11280"/>
          </w:cols>
          <w:pgMar w:left="300" w:top="1139" w:right="319" w:bottom="1440" w:gutter="0" w:footer="0" w:header="0"/>
        </w:sectPr>
      </w:pPr>
    </w:p>
    <w:bookmarkStart w:id="341" w:name="page342"/>
    <w:bookmarkEnd w:id="341"/>
    <w:p>
      <w:pPr>
        <w:spacing w:after="0" w:line="273" w:lineRule="auto"/>
        <w:rPr>
          <w:sz w:val="20"/>
          <w:szCs w:val="20"/>
          <w:color w:val="auto"/>
        </w:rPr>
      </w:pPr>
      <w:r>
        <w:rPr>
          <w:rFonts w:ascii="Times New Roman" w:cs="Times New Roman" w:eastAsia="Times New Roman" w:hAnsi="Times New Roman"/>
          <w:sz w:val="16"/>
          <w:szCs w:val="16"/>
          <w:color w:val="auto"/>
        </w:rPr>
        <w:t>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10" w:lineRule="exact"/>
        <w:rPr>
          <w:sz w:val="20"/>
          <w:szCs w:val="20"/>
          <w:color w:val="auto"/>
        </w:rPr>
      </w:pPr>
    </w:p>
    <w:p>
      <w:pPr>
        <w:ind w:left="520" w:hanging="515"/>
        <w:spacing w:after="0"/>
        <w:tabs>
          <w:tab w:leader="none" w:pos="520"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Amendment; Termination</w:t>
      </w:r>
    </w:p>
    <w:p>
      <w:pPr>
        <w:spacing w:after="0" w:line="158"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10" w:lineRule="exact"/>
        <w:rPr>
          <w:sz w:val="20"/>
          <w:szCs w:val="20"/>
          <w:color w:val="auto"/>
        </w:rPr>
      </w:pPr>
    </w:p>
    <w:p>
      <w:pPr>
        <w:ind w:left="520" w:hanging="515"/>
        <w:spacing w:after="0"/>
        <w:tabs>
          <w:tab w:leader="none" w:pos="520" w:val="left"/>
        </w:tabs>
        <w:numPr>
          <w:ilvl w:val="0"/>
          <w:numId w:val="2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Successors</w:t>
      </w:r>
    </w:p>
    <w:p>
      <w:pPr>
        <w:spacing w:after="0" w:line="158"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10" w:lineRule="exact"/>
        <w:rPr>
          <w:sz w:val="20"/>
          <w:szCs w:val="20"/>
          <w:color w:val="auto"/>
        </w:rPr>
      </w:pPr>
    </w:p>
    <w:p>
      <w:pPr>
        <w:ind w:left="360" w:hanging="355"/>
        <w:spacing w:after="0"/>
        <w:tabs>
          <w:tab w:leader="none" w:pos="360" w:val="left"/>
        </w:tabs>
        <w:numPr>
          <w:ilvl w:val="0"/>
          <w:numId w:val="2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Required Filings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The Company shall make any disclosures and filings with respect to this Policy that are required by law, including as required by the SEC.</w:t>
      </w:r>
    </w:p>
    <w:p>
      <w:pPr>
        <w:spacing w:after="0" w:line="166" w:lineRule="exact"/>
        <w:rPr>
          <w:sz w:val="20"/>
          <w:szCs w:val="20"/>
          <w:color w:val="auto"/>
        </w:rPr>
      </w:pPr>
    </w:p>
    <w:p>
      <w:pPr>
        <w:jc w:val="center"/>
        <w:spacing w:after="0"/>
        <w:tabs>
          <w:tab w:leader="none" w:pos="140" w:val="left"/>
          <w:tab w:leader="none" w:pos="140" w:val="left"/>
          <w:tab w:leader="none" w:pos="140" w:val="left"/>
          <w:tab w:leader="none" w:pos="140" w:val="left"/>
        </w:tabs>
        <w:rPr>
          <w:sz w:val="20"/>
          <w:szCs w:val="20"/>
          <w:color w:val="auto"/>
        </w:rPr>
      </w:pPr>
      <w:r>
        <w:rPr>
          <w:rFonts w:ascii="Times New Roman" w:cs="Times New Roman" w:eastAsia="Times New Roman" w:hAnsi="Times New Roman"/>
          <w:sz w:val="16"/>
          <w:szCs w:val="16"/>
          <w:color w:val="auto"/>
        </w:rPr>
        <w:t>*</w:t>
        <w:tab/>
        <w:t>*</w:t>
        <w:tab/>
        <w:t>*</w:t>
        <w:tab/>
        <w:t>*</w:t>
      </w:r>
      <w:r>
        <w:rPr>
          <w:sz w:val="20"/>
          <w:szCs w:val="20"/>
          <w:color w:val="auto"/>
        </w:rPr>
        <w:tab/>
      </w:r>
      <w:r>
        <w:rPr>
          <w:rFonts w:ascii="Times New Roman" w:cs="Times New Roman" w:eastAsia="Times New Roman" w:hAnsi="Times New Roman"/>
          <w:sz w:val="12"/>
          <w:szCs w:val="12"/>
          <w:color w:val="auto"/>
        </w:rPr>
        <w:t>*</w:t>
      </w:r>
    </w:p>
    <w:p>
      <w:pPr>
        <w:sectPr>
          <w:pgSz w:w="11900" w:h="16838" w:orient="portrait"/>
          <w:cols w:equalWidth="0" w:num="1">
            <w:col w:w="11280"/>
          </w:cols>
          <w:pgMar w:left="300" w:top="1139" w:right="319"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16"/>
          <w:szCs w:val="16"/>
          <w:b w:val="1"/>
          <w:bCs w:val="1"/>
          <w:color w:val="auto"/>
        </w:rPr>
        <w:t>NAVAN,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Incentive Compensation Recoupment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Executive Acknowledgment</w:t>
      </w: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 the undersigned, agree and acknowledge that I am bound by, and subject to, the Navan, Inc. Incentive Compensation Recoupment Policy, as may be amended, restated, supplemented or otherwise modified from time to time (the “</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In the event of any inconsistency between the Policy and the terms of any employment agreement, offer letter or other individual agreement with Navan,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9906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-10160</wp:posOffset>
            </wp:positionV>
            <wp:extent cx="9906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-10160</wp:posOffset>
            </wp:positionV>
            <wp:extent cx="9906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-10160</wp:posOffset>
            </wp:positionV>
            <wp:extent cx="9906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sectPr>
      <w:pgSz w:w="11900" w:h="16838" w:orient="portrait"/>
      <w:cols w:equalWidth="0" w:num="1">
        <w:col w:w="11280"/>
      </w:cols>
      <w:pgMar w:left="300" w:top="11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
      <w:numFmt w:val="bullet"/>
      <w:start w:val="1"/>
    </w:lvl>
  </w:abstractNum>
  <w:abstractNum w:abstractNumId="32">
    <w:nsid w:val="2C27173B"/>
    <w:multiLevelType w:val="hybridMultilevel"/>
    <w:lvl w:ilvl="0">
      <w:lvlJc w:val="left"/>
      <w:lvlText w:val="(%1)"/>
      <w:numFmt w:val="decimal"/>
      <w:start w:val="1"/>
    </w:lvl>
  </w:abstractNum>
  <w:abstractNum w:abstractNumId="33">
    <w:nsid w:val="4C9B0904"/>
    <w:multiLevelType w:val="hybridMultilevel"/>
    <w:lvl w:ilvl="0">
      <w:lvlJc w:val="left"/>
      <w:lvlText w:val="$"/>
      <w:numFmt w:val="bullet"/>
      <w:start w:val="1"/>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1)"/>
      <w:numFmt w:val="decimal"/>
      <w:start w:val="1"/>
    </w:lvl>
  </w:abstractNum>
  <w:abstractNum w:abstractNumId="38">
    <w:nsid w:val="3DB012B3"/>
    <w:multiLevelType w:val="hybridMultilevel"/>
    <w:lvl w:ilvl="0">
      <w:lvlJc w:val="left"/>
      <w:lvlText w:val="(%1)"/>
      <w:numFmt w:val="decimal"/>
      <w:start w:val="1"/>
    </w:lvl>
  </w:abstractNum>
  <w:abstractNum w:abstractNumId="39">
    <w:nsid w:val="2708C9AF"/>
    <w:multiLevelType w:val="hybridMultilevel"/>
    <w:lvl w:ilvl="0">
      <w:lvlJc w:val="left"/>
      <w:lvlText w:val="(%1)"/>
      <w:numFmt w:val="decimal"/>
      <w:start w:val="1"/>
    </w:lvl>
  </w:abstractNum>
  <w:abstractNum w:abstractNumId="40">
    <w:nsid w:val="5B25ACE2"/>
    <w:multiLevelType w:val="hybridMultilevel"/>
    <w:lvl w:ilvl="0">
      <w:lvlJc w:val="left"/>
      <w:lvlText w:val="%1."/>
      <w:numFmt w:val="decimal"/>
      <w:start w:val="1"/>
    </w:lvl>
  </w:abstractNum>
  <w:abstractNum w:abstractNumId="41">
    <w:nsid w:val="175DFCF0"/>
    <w:multiLevelType w:val="hybridMultilevel"/>
    <w:lvl w:ilvl="0">
      <w:lvlJc w:val="left"/>
      <w:lvlText w:val="+"/>
      <w:numFmt w:val="bullet"/>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abstractNum>
  <w:abstractNum w:abstractNumId="44">
    <w:nsid w:val="34FD6B4F"/>
    <w:multiLevelType w:val="hybridMultilevel"/>
    <w:lvl w:ilvl="0">
      <w:lvlJc w:val="left"/>
      <w:lvlText w:val="(%1)"/>
      <w:numFmt w:val="decimal"/>
      <w:start w:val="2"/>
    </w:lvl>
  </w:abstractNum>
  <w:abstractNum w:abstractNumId="45">
    <w:nsid w:val="5915FF32"/>
    <w:multiLevelType w:val="hybridMultilevel"/>
    <w:lvl w:ilvl="0">
      <w:lvlJc w:val="left"/>
      <w:lvlText w:val="•"/>
      <w:numFmt w:val="bullet"/>
      <w:start w:val="1"/>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
      <w:numFmt w:val="bullet"/>
      <w:start w:val="1"/>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1)"/>
      <w:numFmt w:val="lowerLetter"/>
      <w:start w:val="1"/>
    </w:lvl>
  </w:abstractNum>
  <w:abstractNum w:abstractNumId="51">
    <w:nsid w:val="5046B5A9"/>
    <w:multiLevelType w:val="hybridMultilevel"/>
    <w:lvl w:ilvl="0">
      <w:lvlJc w:val="left"/>
      <w:lvlText w:val="(%1)"/>
      <w:numFmt w:val="lowerLetter"/>
      <w:start w:val="2"/>
    </w:lvl>
  </w:abstractNum>
  <w:abstractNum w:abstractNumId="52">
    <w:nsid w:val="5D888A08"/>
    <w:multiLevelType w:val="hybridMultilevel"/>
    <w:lvl w:ilvl="0">
      <w:lvlJc w:val="left"/>
      <w:lvlText w:val="(%1)"/>
      <w:numFmt w:val="decimal"/>
      <w:start w:val="1"/>
    </w:lvl>
  </w:abstractNum>
  <w:abstractNum w:abstractNumId="53">
    <w:nsid w:val="2A082C70"/>
    <w:multiLevelType w:val="hybridMultilevel"/>
    <w:lvl w:ilvl="0">
      <w:lvlJc w:val="left"/>
      <w:lvlText w:val="(%1)"/>
      <w:numFmt w:val="decimal"/>
      <w:start w:val="2"/>
    </w:lvl>
  </w:abstractNum>
  <w:abstractNum w:abstractNumId="54">
    <w:nsid w:val="5EC6AFD4"/>
    <w:multiLevelType w:val="hybridMultilevel"/>
    <w:lvl w:ilvl="0">
      <w:lvlJc w:val="left"/>
      <w:lvlText w:val="(%1)"/>
      <w:numFmt w:val="lowerRoman"/>
      <w:start w:val="10"/>
    </w:lvl>
  </w:abstractNum>
  <w:abstractNum w:abstractNumId="55">
    <w:nsid w:val="19E21BB2"/>
    <w:multiLevelType w:val="hybridMultilevel"/>
    <w:lvl w:ilvl="0">
      <w:lvlJc w:val="left"/>
      <w:lvlText w:val="(%1)"/>
      <w:numFmt w:val="lowerRoman"/>
      <w:start w:val="3"/>
    </w:lvl>
  </w:abstractNum>
  <w:abstractNum w:abstractNumId="56">
    <w:nsid w:val="75E0858A"/>
    <w:multiLevelType w:val="hybridMultilevel"/>
    <w:lvl w:ilvl="0">
      <w:lvlJc w:val="left"/>
      <w:lvlText w:val="(%1)"/>
      <w:numFmt w:val="lowerRoman"/>
      <w:start w:val="4"/>
    </w:lvl>
  </w:abstractNum>
  <w:abstractNum w:abstractNumId="57">
    <w:nsid w:val="57A61A29"/>
    <w:multiLevelType w:val="hybridMultilevel"/>
    <w:lvl w:ilvl="0">
      <w:lvlJc w:val="left"/>
      <w:lvlText w:val="(%1)"/>
      <w:numFmt w:val="lowerRoman"/>
      <w:start w:val="2"/>
    </w:lvl>
  </w:abstractNum>
  <w:abstractNum w:abstractNumId="58">
    <w:nsid w:val="5399C654"/>
    <w:multiLevelType w:val="hybridMultilevel"/>
    <w:lvl w:ilvl="0">
      <w:lvlJc w:val="left"/>
      <w:lvlText w:val="(%1)"/>
      <w:numFmt w:val="lowerRoman"/>
      <w:start w:val="8"/>
    </w:lvl>
  </w:abstractNum>
  <w:abstractNum w:abstractNumId="59">
    <w:nsid w:val="20EE1348"/>
    <w:multiLevelType w:val="hybridMultilevel"/>
    <w:lvl w:ilvl="0">
      <w:lvlJc w:val="left"/>
      <w:lvlText w:val="%1"/>
      <w:numFmt w:val="lowerLetter"/>
      <w:start w:val="1"/>
    </w:lvl>
    <w:lvl w:ilvl="1">
      <w:lvlJc w:val="left"/>
      <w:lvlText w:val="(%2)"/>
      <w:numFmt w:val="lowerLetter"/>
      <w:start w:val="1"/>
    </w:lvl>
  </w:abstractNum>
  <w:abstractNum w:abstractNumId="60">
    <w:nsid w:val="4427069A"/>
    <w:multiLevelType w:val="hybridMultilevel"/>
    <w:lvl w:ilvl="0">
      <w:lvlJc w:val="left"/>
      <w:lvlText w:val="(%1)"/>
      <w:numFmt w:val="lowerLetter"/>
      <w:start w:val="3"/>
    </w:lvl>
    <w:lvl w:ilvl="1">
      <w:lvlJc w:val="left"/>
      <w:lvlText w:val="%2"/>
      <w:numFmt w:val="lowerLetter"/>
      <w:start w:val="1"/>
    </w:lvl>
  </w:abstractNum>
  <w:abstractNum w:abstractNumId="61">
    <w:nsid w:val="B37E80A"/>
    <w:multiLevelType w:val="hybridMultilevel"/>
    <w:lvl w:ilvl="0">
      <w:lvlJc w:val="left"/>
      <w:lvlText w:val="%1"/>
      <w:numFmt w:val="lowerLetter"/>
      <w:start w:val="1"/>
    </w:lvl>
    <w:lvl w:ilvl="1">
      <w:lvlJc w:val="left"/>
      <w:lvlText w:val="(%2)"/>
      <w:numFmt w:val="lowerLetter"/>
      <w:start w:val="1"/>
    </w:lvl>
  </w:abstractNum>
  <w:abstractNum w:abstractNumId="62">
    <w:nsid w:val="2157F6BC"/>
    <w:multiLevelType w:val="hybridMultilevel"/>
    <w:lvl w:ilvl="0">
      <w:lvlJc w:val="left"/>
      <w:lvlText w:val="(%1)"/>
      <w:numFmt w:val="lowerLetter"/>
      <w:start w:val="3"/>
    </w:lvl>
    <w:lvl w:ilvl="1">
      <w:lvlJc w:val="left"/>
      <w:lvlText w:val="%2"/>
      <w:numFmt w:val="lowerLetter"/>
      <w:start w:val="1"/>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1)"/>
      <w:numFmt w:val="lowerLetter"/>
      <w:start w:val="4"/>
    </w:lvl>
  </w:abstractNum>
  <w:abstractNum w:abstractNumId="65">
    <w:nsid w:val="BFFAE18"/>
    <w:multiLevelType w:val="hybridMultilevel"/>
    <w:lvl w:ilvl="0">
      <w:lvlJc w:val="left"/>
      <w:lvlText w:val="(%1)"/>
      <w:numFmt w:val="lowerLetter"/>
      <w:start w:val="1"/>
    </w:lvl>
  </w:abstractNum>
  <w:abstractNum w:abstractNumId="66">
    <w:nsid w:val="E3E47A8"/>
    <w:multiLevelType w:val="hybridMultilevel"/>
    <w:lvl w:ilvl="0">
      <w:lvlJc w:val="left"/>
      <w:lvlText w:val="(%1)"/>
      <w:numFmt w:val="lowerLetter"/>
      <w:start w:val="1"/>
    </w:lvl>
  </w:abstractNum>
  <w:abstractNum w:abstractNumId="67">
    <w:nsid w:val="2E48F044"/>
    <w:multiLevelType w:val="hybridMultilevel"/>
    <w:lvl w:ilvl="0">
      <w:lvlJc w:val="left"/>
      <w:lvlText w:val="(%1)"/>
      <w:numFmt w:val="lowerLetter"/>
      <w:start w:val="2"/>
    </w:lvl>
  </w:abstractNum>
  <w:abstractNum w:abstractNumId="68">
    <w:nsid w:val="49D0FEAC"/>
    <w:multiLevelType w:val="hybridMultilevel"/>
    <w:lvl w:ilvl="0">
      <w:lvlJc w:val="left"/>
      <w:lvlText w:val="(%1)"/>
      <w:numFmt w:val="lowerLetter"/>
      <w:start w:val="1"/>
    </w:lvl>
  </w:abstractNum>
  <w:abstractNum w:abstractNumId="69">
    <w:nsid w:val="4BEE5A5B"/>
    <w:multiLevelType w:val="hybridMultilevel"/>
    <w:lvl w:ilvl="0">
      <w:lvlJc w:val="left"/>
      <w:lvlText w:val="(%1)"/>
      <w:numFmt w:val="lowerLetter"/>
      <w:start w:val="2"/>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lowerLetter"/>
      <w:start w:val="1"/>
    </w:lvl>
  </w:abstractNum>
  <w:abstractNum w:abstractNumId="72">
    <w:nsid w:val="634C574C"/>
    <w:multiLevelType w:val="hybridMultilevel"/>
    <w:lvl w:ilvl="0">
      <w:lvlJc w:val="left"/>
      <w:lvlText w:val="%1"/>
      <w:numFmt w:val="lowerLetter"/>
      <w:start w:val="1"/>
    </w:lvl>
    <w:lvl w:ilvl="1">
      <w:lvlJc w:val="left"/>
      <w:lvlText w:val="(%2)"/>
      <w:numFmt w:val="lowerLetter"/>
      <w:start w:val="3"/>
    </w:lvl>
  </w:abstractNum>
  <w:abstractNum w:abstractNumId="73">
    <w:nsid w:val="24E99DD7"/>
    <w:multiLevelType w:val="hybridMultilevel"/>
    <w:lvl w:ilvl="0">
      <w:lvlJc w:val="left"/>
      <w:lvlText w:val="(%1)"/>
      <w:numFmt w:val="lowerLetter"/>
      <w:start w:val="24"/>
    </w:lvl>
    <w:lvl w:ilvl="1">
      <w:lvlJc w:val="left"/>
      <w:lvlText w:val="(%2)"/>
      <w:numFmt w:val="lowerLetter"/>
      <w:start w:val="4"/>
    </w:lvl>
  </w:abstractNum>
  <w:abstractNum w:abstractNumId="74">
    <w:nsid w:val="2A31B62D"/>
    <w:multiLevelType w:val="hybridMultilevel"/>
    <w:lvl w:ilvl="0">
      <w:lvlJc w:val="left"/>
      <w:lvlText w:val="(%1)"/>
      <w:numFmt w:val="lowerLetter"/>
      <w:start w:val="1"/>
    </w:lvl>
    <w:lvl w:ilvl="1">
      <w:lvlJc w:val="left"/>
      <w:lvlText w:val="(%2)"/>
      <w:numFmt w:val="lowerRoman"/>
      <w:start w:val="1"/>
    </w:lvl>
  </w:abstractNum>
  <w:abstractNum w:abstractNumId="75">
    <w:nsid w:val="1849C29B"/>
    <w:multiLevelType w:val="hybridMultilevel"/>
    <w:lvl w:ilvl="0">
      <w:lvlJc w:val="left"/>
      <w:lvlText w:val="(%1)"/>
      <w:numFmt w:val="lowerLetter"/>
      <w:start w:val="1"/>
    </w:lvl>
    <w:lvl w:ilvl="1">
      <w:lvlJc w:val="left"/>
      <w:lvlText w:val="(%2)"/>
      <w:numFmt w:val="lowerRoman"/>
      <w:start w:val="1"/>
    </w:lvl>
  </w:abstractNum>
  <w:abstractNum w:abstractNumId="76">
    <w:nsid w:val="7DFF9D09"/>
    <w:multiLevelType w:val="hybridMultilevel"/>
    <w:lvl w:ilvl="0">
      <w:lvlJc w:val="left"/>
      <w:lvlText w:val="(%1)"/>
      <w:numFmt w:val="lowerLetter"/>
      <w:start w:val="1"/>
    </w:lvl>
  </w:abstractNum>
  <w:abstractNum w:abstractNumId="77">
    <w:nsid w:val="754342"/>
    <w:multiLevelType w:val="hybridMultilevel"/>
    <w:lvl w:ilvl="0">
      <w:lvlJc w:val="left"/>
      <w:lvlText w:val="(%1)"/>
      <w:numFmt w:val="lowerLetter"/>
      <w:start w:val="2"/>
    </w:lvl>
  </w:abstractNum>
  <w:abstractNum w:abstractNumId="78">
    <w:nsid w:val="69E7F3E5"/>
    <w:multiLevelType w:val="hybridMultilevel"/>
    <w:lvl w:ilvl="0">
      <w:lvlJc w:val="left"/>
      <w:lvlText w:val="(%1)"/>
      <w:numFmt w:val="lowerLetter"/>
      <w:start w:val="8"/>
    </w:lvl>
  </w:abstractNum>
  <w:abstractNum w:abstractNumId="79">
    <w:nsid w:val="2A6DE806"/>
    <w:multiLevelType w:val="hybridMultilevel"/>
    <w:lvl w:ilvl="0">
      <w:lvlJc w:val="left"/>
      <w:lvlText w:val="%1:"/>
      <w:numFmt w:val="upperLetter"/>
      <w:start w:val="35"/>
    </w:lvl>
    <w:lvl w:ilvl="1">
      <w:lvlJc w:val="left"/>
      <w:lvlText w:val="(%2)"/>
      <w:numFmt w:val="lowerLetter"/>
      <w:start w:val="11"/>
    </w:lvl>
  </w:abstractNum>
  <w:abstractNum w:abstractNumId="80">
    <w:nsid w:val="1816F8C4"/>
    <w:multiLevelType w:val="hybridMultilevel"/>
    <w:lvl w:ilvl="0">
      <w:lvlJc w:val="left"/>
      <w:lvlText w:val="(%1)"/>
      <w:numFmt w:val="lowerLetter"/>
      <w:start w:val="1"/>
    </w:lvl>
  </w:abstractNum>
  <w:abstractNum w:abstractNumId="81">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2">
    <w:nsid w:val="7AB49DAF"/>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83">
    <w:nsid w:val="759F82CD"/>
    <w:multiLevelType w:val="hybridMultilevel"/>
    <w:lvl w:ilvl="0">
      <w:lvlJc w:val="left"/>
      <w:lvlText w:val="(%1)"/>
      <w:numFmt w:val="lowerLetter"/>
      <w:start w:val="4"/>
    </w:lvl>
  </w:abstractNum>
  <w:abstractNum w:abstractNumId="84">
    <w:nsid w:val="61E74EA3"/>
    <w:multiLevelType w:val="hybridMultilevel"/>
    <w:lvl w:ilvl="0">
      <w:lvlJc w:val="left"/>
      <w:lvlText w:val="(%1)"/>
      <w:numFmt w:val="lowerLetter"/>
      <w:start w:val="1"/>
    </w:lvl>
  </w:abstractNum>
  <w:abstractNum w:abstractNumId="85">
    <w:nsid w:val="597B4D84"/>
    <w:multiLevelType w:val="hybridMultilevel"/>
    <w:lvl w:ilvl="0">
      <w:lvlJc w:val="left"/>
      <w:lvlText w:val="(%1)"/>
      <w:numFmt w:val="lowerLetter"/>
      <w:start w:val="1"/>
    </w:lvl>
  </w:abstractNum>
  <w:abstractNum w:abstractNumId="86">
    <w:nsid w:val="F819E7F"/>
    <w:multiLevelType w:val="hybridMultilevel"/>
    <w:lvl w:ilvl="0">
      <w:lvlJc w:val="left"/>
      <w:lvlText w:val="(%1)"/>
      <w:numFmt w:val="lowerLetter"/>
      <w:start w:val="2"/>
    </w:lvl>
  </w:abstractNum>
  <w:abstractNum w:abstractNumId="87">
    <w:nsid w:val="57C7D42D"/>
    <w:multiLevelType w:val="hybridMultilevel"/>
    <w:lvl w:ilvl="0">
      <w:lvlJc w:val="left"/>
      <w:lvlText w:val="(%1)"/>
      <w:numFmt w:val="lowerLetter"/>
      <w:start w:val="1"/>
    </w:lvl>
  </w:abstractNum>
  <w:abstractNum w:abstractNumId="88">
    <w:nsid w:val="312167AD"/>
    <w:multiLevelType w:val="hybridMultilevel"/>
    <w:lvl w:ilvl="0">
      <w:lvlJc w:val="left"/>
      <w:lvlText w:val="(%1)"/>
      <w:numFmt w:val="lowerLetter"/>
      <w:start w:val="5"/>
    </w:lvl>
  </w:abstractNum>
  <w:abstractNum w:abstractNumId="89">
    <w:nsid w:val="631B64D4"/>
    <w:multiLevelType w:val="hybridMultilevel"/>
    <w:lvl w:ilvl="0">
      <w:lvlJc w:val="left"/>
      <w:lvlText w:val="(%1)"/>
      <w:numFmt w:val="lowerLetter"/>
      <w:start w:val="1"/>
    </w:lvl>
  </w:abstractNum>
  <w:abstractNum w:abstractNumId="90">
    <w:nsid w:val="78B5E776"/>
    <w:multiLevelType w:val="hybridMultilevel"/>
    <w:lvl w:ilvl="0">
      <w:lvlJc w:val="left"/>
      <w:lvlText w:val="(%1)"/>
      <w:numFmt w:val="lowerLetter"/>
      <w:start w:val="12"/>
    </w:lvl>
  </w:abstractNum>
  <w:abstractNum w:abstractNumId="91">
    <w:nsid w:val="75486E47"/>
    <w:multiLevelType w:val="hybridMultilevel"/>
    <w:lvl w:ilvl="0">
      <w:lvlJc w:val="left"/>
      <w:lvlText w:val="(%1)"/>
      <w:numFmt w:val="lowerLetter"/>
      <w:start w:val="1"/>
    </w:lvl>
  </w:abstractNum>
  <w:abstractNum w:abstractNumId="92">
    <w:nsid w:val="6E534CDE"/>
    <w:multiLevelType w:val="hybridMultilevel"/>
    <w:lvl w:ilvl="0">
      <w:lvlJc w:val="left"/>
      <w:lvlText w:val="(%1)"/>
      <w:numFmt w:val="lowerLetter"/>
      <w:start w:val="5"/>
    </w:lvl>
  </w:abstractNum>
  <w:abstractNum w:abstractNumId="93">
    <w:nsid w:val="1A0DDE32"/>
    <w:multiLevelType w:val="hybridMultilevel"/>
    <w:lvl w:ilvl="0">
      <w:lvlJc w:val="left"/>
      <w:lvlText w:val="(%1)"/>
      <w:numFmt w:val="lowerLetter"/>
      <w:start w:val="9"/>
    </w:lvl>
  </w:abstractNum>
  <w:abstractNum w:abstractNumId="94">
    <w:nsid w:val="65968C1C"/>
    <w:multiLevelType w:val="hybridMultilevel"/>
    <w:lvl w:ilvl="0">
      <w:lvlJc w:val="left"/>
      <w:lvlText w:val="(%1)"/>
      <w:numFmt w:val="lowerLetter"/>
      <w:start w:val="15"/>
    </w:lvl>
    <w:lvl w:ilvl="1">
      <w:lvlJc w:val="left"/>
      <w:lvlText w:val="(%2)"/>
      <w:numFmt w:val="lowerRoman"/>
      <w:start w:val="1"/>
    </w:lvl>
  </w:abstractNum>
  <w:abstractNum w:abstractNumId="95">
    <w:nsid w:val="46263DEC"/>
    <w:multiLevelType w:val="hybridMultilevel"/>
    <w:lvl w:ilvl="0">
      <w:lvlJc w:val="left"/>
      <w:lvlText w:val="%1"/>
      <w:numFmt w:val="lowerRoman"/>
      <w:start w:val="1"/>
    </w:lvl>
    <w:lvl w:ilvl="1">
      <w:lvlJc w:val="left"/>
      <w:lvlText w:val="(%2)"/>
      <w:numFmt w:val="lowerRoman"/>
      <w:start w:val="6"/>
    </w:lvl>
  </w:abstractNum>
  <w:abstractNum w:abstractNumId="96">
    <w:nsid w:val="260D8C4A"/>
    <w:multiLevelType w:val="hybridMultilevel"/>
    <w:lvl w:ilvl="0">
      <w:lvlJc w:val="left"/>
      <w:lvlText w:val="(%1)"/>
      <w:numFmt w:val="lowerRoman"/>
      <w:start w:val="9"/>
    </w:lvl>
    <w:lvl w:ilvl="1">
      <w:lvlJc w:val="left"/>
      <w:lvlText w:val="(%2)"/>
      <w:numFmt w:val="lowerRoman"/>
      <w:start w:val="10"/>
    </w:lvl>
  </w:abstractNum>
  <w:abstractNum w:abstractNumId="97">
    <w:nsid w:val="73D4D3C4"/>
    <w:multiLevelType w:val="hybridMultilevel"/>
    <w:lvl w:ilvl="0">
      <w:lvlJc w:val="left"/>
      <w:lvlText w:val="(%1)"/>
      <w:numFmt w:val="lowerLetter"/>
      <w:start w:val="21"/>
    </w:lvl>
  </w:abstractNum>
  <w:abstractNum w:abstractNumId="98">
    <w:nsid w:val="746F2E30"/>
    <w:multiLevelType w:val="hybridMultilevel"/>
    <w:lvl w:ilvl="0">
      <w:lvlJc w:val="left"/>
      <w:lvlText w:val="(%1)"/>
      <w:numFmt w:val="lowerLetter"/>
      <w:start w:val="22"/>
    </w:lvl>
  </w:abstractNum>
  <w:abstractNum w:abstractNumId="99">
    <w:nsid w:val="6FDE8AF6"/>
    <w:multiLevelType w:val="hybridMultilevel"/>
    <w:lvl w:ilvl="0">
      <w:lvlJc w:val="left"/>
      <w:lvlText w:val="(%1)"/>
      <w:numFmt w:val="lowerLetter"/>
      <w:start w:val="1"/>
    </w:lvl>
  </w:abstractNum>
  <w:abstractNum w:abstractNumId="100">
    <w:nsid w:val="3FC32E20"/>
    <w:multiLevelType w:val="hybridMultilevel"/>
    <w:lvl w:ilvl="0">
      <w:lvlJc w:val="left"/>
      <w:lvlText w:val="(%1)"/>
      <w:numFmt w:val="lowerLetter"/>
      <w:start w:val="1"/>
    </w:lvl>
  </w:abstractNum>
  <w:abstractNum w:abstractNumId="101">
    <w:nsid w:val="49C0E823"/>
    <w:multiLevelType w:val="hybridMultilevel"/>
    <w:lvl w:ilvl="0">
      <w:lvlJc w:val="left"/>
      <w:lvlText w:val="(%1)"/>
      <w:numFmt w:val="lowerLetter"/>
      <w:start w:val="2"/>
    </w:lvl>
    <w:lvl w:ilvl="1">
      <w:lvlJc w:val="left"/>
      <w:lvlText w:val="(%2)"/>
      <w:numFmt w:val="lowerLetter"/>
      <w:start w:val="9"/>
    </w:lvl>
  </w:abstractNum>
  <w:abstractNum w:abstractNumId="102">
    <w:nsid w:val="14D53685"/>
    <w:multiLevelType w:val="hybridMultilevel"/>
    <w:lvl w:ilvl="0">
      <w:lvlJc w:val="left"/>
      <w:lvlText w:val="(%1)"/>
      <w:numFmt w:val="lowerRoman"/>
      <w:start w:val="2"/>
    </w:lvl>
  </w:abstractNum>
  <w:abstractNum w:abstractNumId="103">
    <w:nsid w:val="230F856C"/>
    <w:multiLevelType w:val="hybridMultilevel"/>
    <w:lvl w:ilvl="0">
      <w:lvlJc w:val="left"/>
      <w:lvlText w:val="(%1)"/>
      <w:numFmt w:val="lowerRoman"/>
      <w:start w:val="6"/>
    </w:lvl>
  </w:abstractNum>
  <w:abstractNum w:abstractNumId="104">
    <w:nsid w:val="6EAA85FB"/>
    <w:multiLevelType w:val="hybridMultilevel"/>
    <w:lvl w:ilvl="0">
      <w:lvlJc w:val="left"/>
      <w:lvlText w:val="%1"/>
      <w:numFmt w:val="lowerLetter"/>
      <w:start w:val="1"/>
    </w:lvl>
    <w:lvl w:ilvl="1">
      <w:lvlJc w:val="left"/>
      <w:lvlText w:val="(%2)"/>
      <w:numFmt w:val="lowerRoman"/>
      <w:start w:val="13"/>
    </w:lvl>
  </w:abstractNum>
  <w:abstractNum w:abstractNumId="105">
    <w:nsid w:val="3F06ECB2"/>
    <w:multiLevelType w:val="hybridMultilevel"/>
    <w:lvl w:ilvl="0">
      <w:lvlJc w:val="left"/>
      <w:lvlText w:val="(%1)"/>
      <w:numFmt w:val="lowerLetter"/>
      <w:start w:val="5"/>
    </w:lvl>
    <w:lvl w:ilvl="1">
      <w:lvlJc w:val="left"/>
      <w:lvlText w:val="(%2)"/>
      <w:numFmt w:val="lowerRoman"/>
      <w:start w:val="1"/>
    </w:lvl>
  </w:abstractNum>
  <w:abstractNum w:abstractNumId="106">
    <w:nsid w:val="3B594807"/>
    <w:multiLevelType w:val="hybridMultilevel"/>
    <w:lvl w:ilvl="0">
      <w:lvlJc w:val="left"/>
      <w:lvlText w:val="%1"/>
      <w:numFmt w:val="lowerLetter"/>
      <w:start w:val="1"/>
    </w:lvl>
    <w:lvl w:ilvl="1">
      <w:lvlJc w:val="left"/>
      <w:lvlText w:val="(%2)"/>
      <w:numFmt w:val="lowerRoman"/>
      <w:start w:val="4"/>
    </w:lvl>
  </w:abstractNum>
  <w:abstractNum w:abstractNumId="107">
    <w:nsid w:val="6CAA2304"/>
    <w:multiLevelType w:val="hybridMultilevel"/>
    <w:lvl w:ilvl="0">
      <w:lvlJc w:val="left"/>
      <w:lvlText w:val="(%1)"/>
      <w:numFmt w:val="lowerLetter"/>
      <w:start w:val="6"/>
    </w:lvl>
    <w:lvl w:ilvl="1">
      <w:lvlJc w:val="left"/>
      <w:lvlText w:val="(%2)"/>
      <w:numFmt w:val="lowerRoman"/>
      <w:start w:val="1"/>
    </w:lvl>
  </w:abstractNum>
  <w:abstractNum w:abstractNumId="108">
    <w:nsid w:val="3F7C2FF4"/>
    <w:multiLevelType w:val="hybridMultilevel"/>
    <w:lvl w:ilvl="0">
      <w:lvlJc w:val="left"/>
      <w:lvlText w:val="(%1)"/>
      <w:numFmt w:val="lowerLetter"/>
      <w:start w:val="9"/>
    </w:lvl>
  </w:abstractNum>
  <w:abstractNum w:abstractNumId="109">
    <w:nsid w:val="25413BEC"/>
    <w:multiLevelType w:val="hybridMultilevel"/>
    <w:lvl w:ilvl="0">
      <w:lvlJc w:val="left"/>
      <w:lvlText w:val="%1"/>
      <w:numFmt w:val="lowerLetter"/>
      <w:start w:val="1"/>
    </w:lvl>
    <w:lvl w:ilvl="1">
      <w:lvlJc w:val="left"/>
      <w:lvlText w:val="(%2)"/>
      <w:numFmt w:val="lowerLetter"/>
      <w:start w:val="16"/>
    </w:lvl>
  </w:abstractNum>
  <w:abstractNum w:abstractNumId="110">
    <w:nsid w:val="17180B0B"/>
    <w:multiLevelType w:val="hybridMultilevel"/>
    <w:lvl w:ilvl="0">
      <w:lvlJc w:val="left"/>
      <w:lvlText w:val="(%1)"/>
      <w:numFmt w:val="lowerLetter"/>
      <w:start w:val="18"/>
    </w:lvl>
    <w:lvl w:ilvl="1">
      <w:lvlJc w:val="left"/>
      <w:lvlText w:val="%2"/>
      <w:numFmt w:val="lowerLetter"/>
      <w:start w:val="1"/>
    </w:lvl>
  </w:abstractNum>
  <w:abstractNum w:abstractNumId="111">
    <w:nsid w:val="579328B9"/>
    <w:multiLevelType w:val="hybridMultilevel"/>
    <w:lvl w:ilvl="0">
      <w:lvlJc w:val="left"/>
      <w:lvlText w:val="%1"/>
      <w:numFmt w:val="lowerLetter"/>
      <w:start w:val="1"/>
    </w:lvl>
    <w:lvl w:ilvl="1">
      <w:lvlJc w:val="left"/>
      <w:lvlText w:val="(%2)"/>
      <w:numFmt w:val="lowerLetter"/>
      <w:start w:val="1"/>
    </w:lvl>
  </w:abstractNum>
  <w:abstractNum w:abstractNumId="112">
    <w:nsid w:val="5D205E20"/>
    <w:multiLevelType w:val="hybridMultilevel"/>
    <w:lvl w:ilvl="0">
      <w:lvlJc w:val="left"/>
      <w:lvlText w:val="(%1)"/>
      <w:numFmt w:val="lowerLetter"/>
      <w:start w:val="9"/>
    </w:lvl>
    <w:lvl w:ilvl="1">
      <w:lvlJc w:val="left"/>
      <w:lvlText w:val="(%2)"/>
      <w:numFmt w:val="lowerLetter"/>
      <w:start w:val="4"/>
    </w:lvl>
  </w:abstractNum>
  <w:abstractNum w:abstractNumId="113">
    <w:nsid w:val="11CCA8BA"/>
    <w:multiLevelType w:val="hybridMultilevel"/>
    <w:lvl w:ilvl="0">
      <w:lvlJc w:val="left"/>
      <w:lvlText w:val="(%1)"/>
      <w:numFmt w:val="lowerLetter"/>
      <w:start w:val="5"/>
    </w:lvl>
  </w:abstractNum>
  <w:abstractNum w:abstractNumId="114">
    <w:nsid w:val="4D32AB86"/>
    <w:multiLevelType w:val="hybridMultilevel"/>
    <w:lvl w:ilvl="0">
      <w:lvlJc w:val="left"/>
      <w:lvlText w:val="(%1)"/>
      <w:numFmt w:val="lowerLetter"/>
      <w:start w:val="13"/>
    </w:lvl>
  </w:abstractNum>
  <w:abstractNum w:abstractNumId="115">
    <w:nsid w:val="3F07ACC3"/>
    <w:multiLevelType w:val="hybridMultilevel"/>
    <w:lvl w:ilvl="0">
      <w:lvlJc w:val="left"/>
      <w:lvlText w:val="(%1)"/>
      <w:numFmt w:val="lowerLetter"/>
      <w:start w:val="1"/>
    </w:lvl>
  </w:abstractNum>
  <w:abstractNum w:abstractNumId="116">
    <w:nsid w:val="6B47F63E"/>
    <w:multiLevelType w:val="hybridMultilevel"/>
    <w:lvl w:ilvl="0">
      <w:lvlJc w:val="left"/>
      <w:lvlText w:val="(%1)"/>
      <w:numFmt w:val="lowerLetter"/>
      <w:start w:val="2"/>
    </w:lvl>
  </w:abstractNum>
  <w:abstractNum w:abstractNumId="117">
    <w:nsid w:val="5CB44A05"/>
    <w:multiLevelType w:val="hybridMultilevel"/>
    <w:lvl w:ilvl="0">
      <w:lvlJc w:val="left"/>
      <w:lvlText w:val="(%1)"/>
      <w:numFmt w:val="lowerLetter"/>
      <w:start w:val="17"/>
    </w:lvl>
  </w:abstractNum>
  <w:abstractNum w:abstractNumId="118">
    <w:nsid w:val="16CF80F1"/>
    <w:multiLevelType w:val="hybridMultilevel"/>
    <w:lvl w:ilvl="0">
      <w:lvlJc w:val="left"/>
      <w:lvlText w:val="(%1)"/>
      <w:numFmt w:val="lowerRoman"/>
      <w:start w:val="10"/>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2"/>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lowerLetter"/>
      <w:start w:val="5"/>
    </w:lvl>
  </w:abstractNum>
  <w:abstractNum w:abstractNumId="123">
    <w:nsid w:val="2E22FBB7"/>
    <w:multiLevelType w:val="hybridMultilevel"/>
    <w:lvl w:ilvl="0">
      <w:lvlJc w:val="left"/>
      <w:lvlText w:val="(%1)"/>
      <w:numFmt w:val="lowerLetter"/>
      <w:start w:val="15"/>
    </w:lvl>
    <w:lvl w:ilvl="1">
      <w:lvlJc w:val="left"/>
      <w:lvlText w:val="(%2)"/>
      <w:numFmt w:val="lowerRoman"/>
      <w:start w:val="1"/>
    </w:lvl>
  </w:abstractNum>
  <w:abstractNum w:abstractNumId="124">
    <w:nsid w:val="29934699"/>
    <w:multiLevelType w:val="hybridMultilevel"/>
    <w:lvl w:ilvl="0">
      <w:lvlJc w:val="left"/>
      <w:lvlText w:val="(%1)"/>
      <w:numFmt w:val="lowerLetter"/>
      <w:start w:val="20"/>
    </w:lvl>
  </w:abstractNum>
  <w:abstractNum w:abstractNumId="125">
    <w:nsid w:val="77485850"/>
    <w:multiLevelType w:val="hybridMultilevel"/>
    <w:lvl w:ilvl="0">
      <w:lvlJc w:val="left"/>
      <w:lvlText w:val="(%1)"/>
      <w:numFmt w:val="lowerLetter"/>
      <w:start w:val="1"/>
    </w:lvl>
  </w:abstractNum>
  <w:abstractNum w:abstractNumId="126">
    <w:nsid w:val="744939A3"/>
    <w:multiLevelType w:val="hybridMultilevel"/>
    <w:lvl w:ilvl="0">
      <w:lvlJc w:val="left"/>
      <w:lvlText w:val="%1"/>
      <w:numFmt w:val="decimal"/>
      <w:start w:val="1"/>
    </w:lvl>
    <w:lvl w:ilvl="1">
      <w:lvlJc w:val="left"/>
      <w:lvlText w:val="(%2)"/>
      <w:numFmt w:val="lowerLetter"/>
      <w:start w:val="1"/>
    </w:lvl>
  </w:abstractNum>
  <w:abstractNum w:abstractNumId="127">
    <w:nsid w:val="4FA0D2E3"/>
    <w:multiLevelType w:val="hybridMultilevel"/>
    <w:lvl w:ilvl="0">
      <w:lvlJc w:val="left"/>
      <w:lvlText w:val="(%1)"/>
      <w:numFmt w:val="decimal"/>
      <w:start w:val="5"/>
    </w:lvl>
    <w:lvl w:ilvl="1">
      <w:lvlJc w:val="left"/>
      <w:lvlText w:val="(%2)"/>
      <w:numFmt w:val="lowerLetter"/>
      <w:start w:val="2"/>
    </w:lvl>
  </w:abstractNum>
  <w:abstractNum w:abstractNumId="128">
    <w:nsid w:val="6B1D2C14"/>
    <w:multiLevelType w:val="hybridMultilevel"/>
    <w:lvl w:ilvl="0">
      <w:lvlJc w:val="left"/>
      <w:lvlText w:val="(%1)"/>
      <w:numFmt w:val="lowerLetter"/>
      <w:start w:val="4"/>
    </w:lvl>
  </w:abstractNum>
  <w:abstractNum w:abstractNumId="129">
    <w:nsid w:val="68B867D3"/>
    <w:multiLevelType w:val="hybridMultilevel"/>
    <w:lvl w:ilvl="0">
      <w:lvlJc w:val="left"/>
      <w:lvlText w:val="(%1)"/>
      <w:numFmt w:val="lowerLetter"/>
      <w:start w:val="1"/>
    </w:lvl>
    <w:lvl w:ilvl="1">
      <w:lvlJc w:val="left"/>
      <w:lvlText w:val="(%2)"/>
      <w:numFmt w:val="lowerRoman"/>
      <w:start w:val="1"/>
    </w:lvl>
  </w:abstractNum>
  <w:abstractNum w:abstractNumId="130">
    <w:nsid w:val="3F7F5D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31">
    <w:nsid w:val="2AE05A34"/>
    <w:multiLevelType w:val="hybridMultilevel"/>
    <w:lvl w:ilvl="0">
      <w:lvlJc w:val="left"/>
      <w:lvlText w:val="(%1)"/>
      <w:numFmt w:val="lowerRoman"/>
      <w:start w:val="8"/>
    </w:lvl>
    <w:lvl w:ilvl="1">
      <w:lvlJc w:val="left"/>
      <w:lvlText w:val="(%2)"/>
      <w:numFmt w:val="lowerLetter"/>
      <w:start w:val="2"/>
    </w:lvl>
    <w:lvl w:ilvl="2">
      <w:lvlJc w:val="left"/>
      <w:lvlText w:val="%3"/>
      <w:numFmt w:val="lowerRoman"/>
      <w:start w:val="1"/>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1"/>
    </w:lvl>
  </w:abstractNum>
  <w:abstractNum w:abstractNumId="134">
    <w:nsid w:val="4DEFDFA0"/>
    <w:multiLevelType w:val="hybridMultilevel"/>
    <w:lvl w:ilvl="0">
      <w:lvlJc w:val="left"/>
      <w:lvlText w:val="(%1)"/>
      <w:numFmt w:val="lowerRoman"/>
      <w:start w:val="1"/>
    </w:lvl>
  </w:abstractNum>
  <w:abstractNum w:abstractNumId="135">
    <w:nsid w:val="2123D5F2"/>
    <w:multiLevelType w:val="hybridMultilevel"/>
    <w:lvl w:ilvl="0">
      <w:lvlJc w:val="left"/>
      <w:lvlText w:val="(%1)"/>
      <w:numFmt w:val="lowerRoman"/>
      <w:start w:val="3"/>
    </w:lvl>
  </w:abstractNum>
  <w:abstractNum w:abstractNumId="136">
    <w:nsid w:val="135B8110"/>
    <w:multiLevelType w:val="hybridMultilevel"/>
    <w:lvl w:ilvl="0">
      <w:lvlJc w:val="left"/>
      <w:lvlText w:val="(%1)"/>
      <w:numFmt w:val="lowerLetter"/>
      <w:start w:val="1"/>
    </w:lvl>
  </w:abstractNum>
  <w:abstractNum w:abstractNumId="137">
    <w:nsid w:val="94927A8"/>
    <w:multiLevelType w:val="hybridMultilevel"/>
    <w:lvl w:ilvl="0">
      <w:lvlJc w:val="left"/>
      <w:lvlText w:val="(%1)"/>
      <w:numFmt w:val="lowerLetter"/>
      <w:start w:val="3"/>
    </w:lvl>
  </w:abstractNum>
  <w:abstractNum w:abstractNumId="138">
    <w:nsid w:val="DCDF8F6"/>
    <w:multiLevelType w:val="hybridMultilevel"/>
    <w:lvl w:ilvl="0">
      <w:lvlJc w:val="left"/>
      <w:lvlText w:val="(%1)"/>
      <w:numFmt w:val="lowerLetter"/>
      <w:start w:val="1"/>
    </w:lvl>
  </w:abstractNum>
  <w:abstractNum w:abstractNumId="139">
    <w:nsid w:val="52D7B105"/>
    <w:multiLevelType w:val="hybridMultilevel"/>
    <w:lvl w:ilvl="0">
      <w:lvlJc w:val="left"/>
      <w:lvlText w:val="(%1)"/>
      <w:numFmt w:val="lowerLetter"/>
      <w:start w:val="1"/>
    </w:lvl>
  </w:abstractNum>
  <w:abstractNum w:abstractNumId="140">
    <w:nsid w:val="2E8A6394"/>
    <w:multiLevelType w:val="hybridMultilevel"/>
    <w:lvl w:ilvl="0">
      <w:lvlJc w:val="left"/>
      <w:lvlText w:val="(%1)"/>
      <w:numFmt w:val="lowerLetter"/>
      <w:start w:val="2"/>
    </w:lvl>
    <w:lvl w:ilvl="1">
      <w:lvlJc w:val="left"/>
      <w:lvlText w:val="(%2)"/>
      <w:numFmt w:val="lowerRoman"/>
      <w:start w:val="1"/>
    </w:lvl>
  </w:abstractNum>
  <w:abstractNum w:abstractNumId="141">
    <w:nsid w:val="24E60401"/>
    <w:multiLevelType w:val="hybridMultilevel"/>
    <w:lvl w:ilvl="0">
      <w:lvlJc w:val="left"/>
      <w:lvlText w:val="%1"/>
      <w:numFmt w:val="lowerLetter"/>
      <w:start w:val="1"/>
    </w:lvl>
    <w:lvl w:ilvl="1">
      <w:lvlJc w:val="left"/>
      <w:lvlText w:val="(%2)"/>
      <w:numFmt w:val="lowerRoman"/>
      <w:start w:val="6"/>
    </w:lvl>
  </w:abstractNum>
  <w:abstractNum w:abstractNumId="142">
    <w:nsid w:val="2A6AD9BE"/>
    <w:multiLevelType w:val="hybridMultilevel"/>
    <w:lvl w:ilvl="0">
      <w:lvlJc w:val="left"/>
      <w:lvlText w:val="(%1)"/>
      <w:numFmt w:val="lowerLetter"/>
      <w:start w:val="3"/>
    </w:lvl>
    <w:lvl w:ilvl="1">
      <w:lvlJc w:val="left"/>
      <w:lvlText w:val="(%2)"/>
      <w:numFmt w:val="lowerRoman"/>
      <w:start w:val="1"/>
    </w:lvl>
  </w:abstractNum>
  <w:abstractNum w:abstractNumId="143">
    <w:nsid w:val="BAAC1B4"/>
    <w:multiLevelType w:val="hybridMultilevel"/>
    <w:lvl w:ilvl="0">
      <w:lvlJc w:val="left"/>
      <w:lvlText w:val="%1"/>
      <w:numFmt w:val="upperLetter"/>
      <w:start w:val="1"/>
    </w:lvl>
    <w:lvl w:ilvl="1">
      <w:lvlJc w:val="left"/>
      <w:lvlText w:val="(%2)"/>
      <w:numFmt w:val="lowerRoman"/>
      <w:start w:val="3"/>
    </w:lvl>
  </w:abstractNum>
  <w:abstractNum w:abstractNumId="144">
    <w:nsid w:val="36B2ACBC"/>
    <w:multiLevelType w:val="hybridMultilevel"/>
    <w:lvl w:ilvl="0">
      <w:lvlJc w:val="left"/>
      <w:lvlText w:val="(%1)"/>
      <w:numFmt w:val="upperLetter"/>
      <w:start w:val="2"/>
    </w:lvl>
    <w:lvl w:ilvl="1">
      <w:lvlJc w:val="left"/>
      <w:lvlText w:val="(%2)"/>
      <w:numFmt w:val="lowerRoman"/>
      <w:start w:val="4"/>
    </w:lvl>
  </w:abstractNum>
  <w:abstractNum w:abstractNumId="145">
    <w:nsid w:val="779D8544"/>
    <w:multiLevelType w:val="hybridMultilevel"/>
    <w:lvl w:ilvl="0">
      <w:lvlJc w:val="left"/>
      <w:lvlText w:val="(%1)"/>
      <w:numFmt w:val="upperLetter"/>
      <w:start w:val="2"/>
    </w:lvl>
    <w:lvl w:ilvl="1">
      <w:lvlJc w:val="left"/>
      <w:lvlText w:val="(%2)"/>
      <w:numFmt w:val="lowerRoman"/>
      <w:start w:val="6"/>
    </w:lvl>
  </w:abstractNum>
  <w:abstractNum w:abstractNumId="146">
    <w:nsid w:val="4AB26E78"/>
    <w:multiLevelType w:val="hybridMultilevel"/>
    <w:lvl w:ilvl="0">
      <w:lvlJc w:val="left"/>
      <w:lvlText w:val="(%1)"/>
      <w:numFmt w:val="lowerLetter"/>
      <w:start w:val="4"/>
    </w:lvl>
  </w:abstractNum>
  <w:abstractNum w:abstractNumId="147">
    <w:nsid w:val="21FAA2FA"/>
    <w:multiLevelType w:val="hybridMultilevel"/>
    <w:lvl w:ilvl="0">
      <w:lvlJc w:val="left"/>
      <w:lvlText w:val="(%1)"/>
      <w:numFmt w:val="lowerLetter"/>
      <w:start w:val="6"/>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3"/>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1)"/>
      <w:numFmt w:val="lowerLetter"/>
      <w:start w:val="2"/>
    </w:lvl>
    <w:lvl w:ilvl="1">
      <w:lvlJc w:val="left"/>
      <w:lvlText w:val="(%2)"/>
      <w:numFmt w:val="lowerRoman"/>
      <w:start w:val="1"/>
    </w:lvl>
  </w:abstractNum>
  <w:abstractNum w:abstractNumId="152">
    <w:nsid w:val="710757D0"/>
    <w:multiLevelType w:val="hybridMultilevel"/>
    <w:lvl w:ilvl="0">
      <w:lvlJc w:val="left"/>
      <w:lvlText w:val="%1"/>
      <w:numFmt w:val="lowerLetter"/>
      <w:start w:val="1"/>
    </w:lvl>
    <w:lvl w:ilvl="1">
      <w:lvlJc w:val="left"/>
      <w:lvlText w:val="(%2)"/>
      <w:numFmt w:val="lowerLetter"/>
      <w:start w:val="5"/>
    </w:lvl>
  </w:abstractNum>
  <w:abstractNum w:abstractNumId="153">
    <w:nsid w:val="5015CD1A"/>
    <w:multiLevelType w:val="hybridMultilevel"/>
    <w:lvl w:ilvl="0">
      <w:lvlJc w:val="left"/>
      <w:lvlText w:val="(%1)"/>
      <w:numFmt w:val="lowerLetter"/>
      <w:start w:val="9"/>
    </w:lvl>
    <w:lvl w:ilvl="1">
      <w:lvlJc w:val="left"/>
      <w:lvlText w:val="%2"/>
      <w:numFmt w:val="lowerLetter"/>
      <w:start w:val="1"/>
    </w:lvl>
  </w:abstractNum>
  <w:abstractNum w:abstractNumId="154">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5">
    <w:nsid w:val="1A9A9E69"/>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2"/>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5"/>
    </w:lvl>
    <w:lvl w:ilvl="1">
      <w:lvlJc w:val="left"/>
      <w:lvlText w:val="(%2)"/>
      <w:numFmt w:val="lowerRoman"/>
      <w:start w:val="1"/>
    </w:lvl>
  </w:abstractNum>
  <w:abstractNum w:abstractNumId="160">
    <w:nsid w:val="1F461B51"/>
    <w:multiLevelType w:val="hybridMultilevel"/>
    <w:lvl w:ilvl="0">
      <w:lvlJc w:val="left"/>
      <w:lvlText w:val="(%1)"/>
      <w:numFmt w:val="upperLetter"/>
      <w:start w:val="1"/>
    </w:lvl>
  </w:abstractNum>
  <w:abstractNum w:abstractNumId="161">
    <w:nsid w:val="29BACF25"/>
    <w:multiLevelType w:val="hybridMultilevel"/>
    <w:lvl w:ilvl="0">
      <w:lvlJc w:val="left"/>
      <w:lvlText w:val="(%1)"/>
      <w:numFmt w:val="upperLetter"/>
      <w:start w:val="2"/>
    </w:lvl>
    <w:lvl w:ilvl="1">
      <w:lvlJc w:val="left"/>
      <w:lvlText w:val="(%2)"/>
      <w:numFmt w:val="decimal"/>
      <w:start w:val="1"/>
    </w:lvl>
  </w:abstractNum>
  <w:abstractNum w:abstractNumId="162">
    <w:nsid w:val="5D5BABB3"/>
    <w:multiLevelType w:val="hybridMultilevel"/>
    <w:lvl w:ilvl="0">
      <w:lvlJc w:val="left"/>
      <w:lvlText w:val="%1"/>
      <w:numFmt w:val="upperLetter"/>
      <w:start w:val="1"/>
    </w:lvl>
    <w:lvl w:ilvl="1">
      <w:lvlJc w:val="left"/>
      <w:lvlText w:val="(%2)"/>
      <w:numFmt w:val="upperLetter"/>
      <w:start w:val="5"/>
    </w:lvl>
  </w:abstractNum>
  <w:abstractNum w:abstractNumId="163">
    <w:nsid w:val="51BF6B48"/>
    <w:multiLevelType w:val="hybridMultilevel"/>
    <w:lvl w:ilvl="0">
      <w:lvlJc w:val="left"/>
      <w:lvlText w:val="(%1)"/>
      <w:numFmt w:val="upperLetter"/>
      <w:start w:val="6"/>
    </w:lvl>
    <w:lvl w:ilvl="1">
      <w:lvlJc w:val="left"/>
      <w:lvlText w:val="%2"/>
      <w:numFmt w:val="upperLetter"/>
      <w:start w:val="1"/>
    </w:lvl>
  </w:abstractNum>
  <w:abstractNum w:abstractNumId="164">
    <w:nsid w:val="7E0F6384"/>
    <w:multiLevelType w:val="hybridMultilevel"/>
    <w:lvl w:ilvl="0">
      <w:lvlJc w:val="left"/>
      <w:lvlText w:val="(%1)"/>
      <w:numFmt w:val="lowerLetter"/>
      <w:start w:val="8"/>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1"/>
      <w:numFmt w:val="lowerRoman"/>
      <w:start w:val="1"/>
    </w:lvl>
    <w:lvl w:ilvl="1">
      <w:lvlJc w:val="left"/>
      <w:lvlText w:val="(%2)"/>
      <w:numFmt w:val="lowerRoman"/>
      <w:start w:val="1"/>
    </w:lvl>
  </w:abstractNum>
  <w:abstractNum w:abstractNumId="167">
    <w:nsid w:val="116AE494"/>
    <w:multiLevelType w:val="hybridMultilevel"/>
    <w:lvl w:ilvl="0">
      <w:lvlJc w:val="left"/>
      <w:lvlText w:val="(%1)"/>
      <w:numFmt w:val="lowerRoman"/>
      <w:start w:val="12"/>
    </w:lvl>
    <w:lvl w:ilvl="1">
      <w:lvlJc w:val="left"/>
      <w:lvlText w:val="%2"/>
      <w:numFmt w:val="lowerRoman"/>
      <w:start w:val="1"/>
    </w:lvl>
  </w:abstractNum>
  <w:abstractNum w:abstractNumId="168">
    <w:nsid w:val="3494B2FB"/>
    <w:multiLevelType w:val="hybridMultilevel"/>
    <w:lvl w:ilvl="0">
      <w:lvlJc w:val="left"/>
      <w:lvlText w:val="(%1)"/>
      <w:numFmt w:val="lowerLetter"/>
      <w:start w:val="3"/>
    </w:lvl>
  </w:abstractNum>
  <w:abstractNum w:abstractNumId="169">
    <w:nsid w:val="B13A31"/>
    <w:multiLevelType w:val="hybridMultilevel"/>
    <w:lvl w:ilvl="0">
      <w:lvlJc w:val="left"/>
      <w:lvlText w:val="(%1)"/>
      <w:numFmt w:val="lowerLetter"/>
      <w:start w:val="1"/>
    </w:lvl>
  </w:abstractNum>
  <w:abstractNum w:abstractNumId="170">
    <w:nsid w:val="64429599"/>
    <w:multiLevelType w:val="hybridMultilevel"/>
    <w:lvl w:ilvl="0">
      <w:lvlJc w:val="left"/>
      <w:lvlText w:val="(%1)"/>
      <w:numFmt w:val="lowerLetter"/>
      <w:start w:val="2"/>
    </w:lvl>
    <w:lvl w:ilvl="1">
      <w:lvlJc w:val="left"/>
      <w:lvlText w:val="(%2)"/>
      <w:numFmt w:val="lowerRoman"/>
      <w:start w:val="1"/>
    </w:lvl>
  </w:abstractNum>
  <w:abstractNum w:abstractNumId="171">
    <w:nsid w:val="631F1690"/>
    <w:multiLevelType w:val="hybridMultilevel"/>
    <w:lvl w:ilvl="0">
      <w:lvlJc w:val="left"/>
      <w:lvlText w:val="(%1)"/>
      <w:numFmt w:val="lowerLetter"/>
      <w:start w:val="4"/>
    </w:lvl>
  </w:abstractNum>
  <w:abstractNum w:abstractNumId="172">
    <w:nsid w:val="25973E32"/>
    <w:multiLevelType w:val="hybridMultilevel"/>
    <w:lvl w:ilvl="0">
      <w:lvlJc w:val="left"/>
      <w:lvlText w:val="(%1)"/>
      <w:numFmt w:val="lowerLetter"/>
      <w:start w:val="1"/>
    </w:lvl>
  </w:abstractNum>
  <w:abstractNum w:abstractNumId="173">
    <w:nsid w:val="EAD6F57"/>
    <w:multiLevelType w:val="hybridMultilevel"/>
    <w:lvl w:ilvl="0">
      <w:lvlJc w:val="left"/>
      <w:lvlText w:val="(%1)"/>
      <w:numFmt w:val="lowerLetter"/>
      <w:start w:val="1"/>
    </w:lvl>
    <w:lvl w:ilvl="1">
      <w:lvlJc w:val="left"/>
      <w:lvlText w:val="(%2)"/>
      <w:numFmt w:val="lowerRoman"/>
      <w:start w:val="1"/>
    </w:lvl>
  </w:abstractNum>
  <w:abstractNum w:abstractNumId="174">
    <w:nsid w:val="6EC9D844"/>
    <w:multiLevelType w:val="hybridMultilevel"/>
    <w:lvl w:ilvl="0">
      <w:lvlJc w:val="left"/>
      <w:lvlText w:val="(%1)"/>
      <w:numFmt w:val="lowerLetter"/>
      <w:start w:val="1"/>
    </w:lvl>
  </w:abstractNum>
  <w:abstractNum w:abstractNumId="175">
    <w:nsid w:val="5C49EAEE"/>
    <w:multiLevelType w:val="hybridMultilevel"/>
    <w:lvl w:ilvl="0">
      <w:lvlJc w:val="left"/>
      <w:lvlText w:val="%1"/>
      <w:numFmt w:val="lowerLetter"/>
      <w:start w:val="1"/>
    </w:lvl>
    <w:lvl w:ilvl="1">
      <w:lvlJc w:val="left"/>
      <w:lvlText w:val="(%2)"/>
      <w:numFmt w:val="lowerLetter"/>
      <w:start w:val="1"/>
    </w:lvl>
  </w:abstractNum>
  <w:abstractNum w:abstractNumId="176">
    <w:nsid w:val="64AF49B"/>
    <w:multiLevelType w:val="hybridMultilevel"/>
    <w:lvl w:ilvl="0">
      <w:lvlJc w:val="left"/>
      <w:lvlText w:val="(%1)"/>
      <w:numFmt w:val="lowerLetter"/>
      <w:start w:val="35"/>
    </w:lvl>
    <w:lvl w:ilvl="1">
      <w:lvlJc w:val="left"/>
      <w:lvlText w:val="%2"/>
      <w:numFmt w:val="lowerLetter"/>
      <w:start w:val="1"/>
    </w:lvl>
  </w:abstractNum>
  <w:abstractNum w:abstractNumId="177">
    <w:nsid w:val="397C46BC"/>
    <w:multiLevelType w:val="hybridMultilevel"/>
    <w:lvl w:ilvl="0">
      <w:lvlJc w:val="left"/>
      <w:lvlText w:val="(%1)"/>
      <w:numFmt w:val="lowerLetter"/>
      <w:start w:val="2"/>
    </w:lvl>
  </w:abstractNum>
  <w:abstractNum w:abstractNumId="178">
    <w:nsid w:val="7E448DE9"/>
    <w:multiLevelType w:val="hybridMultilevel"/>
    <w:lvl w:ilvl="0">
      <w:lvlJc w:val="left"/>
      <w:lvlText w:val="(%1)"/>
      <w:numFmt w:val="lowerLetter"/>
      <w:start w:val="3"/>
    </w:lvl>
  </w:abstractNum>
  <w:abstractNum w:abstractNumId="179">
    <w:nsid w:val="5A9CC3E5"/>
    <w:multiLevelType w:val="hybridMultilevel"/>
    <w:lvl w:ilvl="0">
      <w:lvlJc w:val="left"/>
      <w:lvlText w:val="(%1)"/>
      <w:numFmt w:val="lowerLetter"/>
      <w:start w:val="9"/>
    </w:lvl>
  </w:abstractNum>
  <w:abstractNum w:abstractNumId="180">
    <w:nsid w:val="1AFE3625"/>
    <w:multiLevelType w:val="hybridMultilevel"/>
    <w:lvl w:ilvl="0">
      <w:lvlJc w:val="left"/>
      <w:lvlText w:val="(%1)"/>
      <w:numFmt w:val="lowerLetter"/>
      <w:start w:val="1"/>
    </w:lvl>
  </w:abstractNum>
  <w:abstractNum w:abstractNumId="181">
    <w:nsid w:val="3CA88ECF"/>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82">
    <w:nsid w:val="6EBE4208"/>
    <w:multiLevelType w:val="hybridMultilevel"/>
    <w:lvl w:ilvl="0">
      <w:lvlJc w:val="left"/>
      <w:lvlText w:val="●"/>
      <w:numFmt w:val="bullet"/>
      <w:start w:val="1"/>
    </w:lvl>
  </w:abstractNum>
  <w:abstractNum w:abstractNumId="183">
    <w:nsid w:val="C058DF5"/>
    <w:multiLevelType w:val="hybridMultilevel"/>
    <w:lvl w:ilvl="0">
      <w:lvlJc w:val="left"/>
      <w:lvlText w:val="●"/>
      <w:numFmt w:val="bullet"/>
      <w:start w:val="1"/>
    </w:lvl>
  </w:abstractNum>
  <w:abstractNum w:abstractNumId="184">
    <w:nsid w:val="CBE5BE9"/>
    <w:multiLevelType w:val="hybridMultilevel"/>
    <w:lvl w:ilvl="0">
      <w:lvlJc w:val="left"/>
      <w:lvlText w:val="●"/>
      <w:numFmt w:val="bullet"/>
      <w:start w:val="1"/>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9">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0">
    <w:nsid w:val="697D2D2"/>
    <w:multiLevelType w:val="hybridMultilevel"/>
    <w:lvl w:ilvl="0">
      <w:lvlJc w:val="left"/>
      <w:lvlText w:val="%1."/>
      <w:numFmt w:val="decimal"/>
      <w:start w:val="1"/>
    </w:lvl>
  </w:abstractNum>
  <w:abstractNum w:abstractNumId="191">
    <w:nsid w:val="6D68AB2"/>
    <w:multiLevelType w:val="hybridMultilevel"/>
    <w:lvl w:ilvl="0">
      <w:lvlJc w:val="left"/>
      <w:lvlText w:val="%1."/>
      <w:numFmt w:val="decimal"/>
      <w:start w:val="1"/>
    </w:lvl>
  </w:abstractNum>
  <w:abstractNum w:abstractNumId="192">
    <w:nsid w:val="3A966CD0"/>
    <w:multiLevelType w:val="hybridMultilevel"/>
    <w:lvl w:ilvl="0">
      <w:lvlJc w:val="left"/>
      <w:lvlText w:val="%1."/>
      <w:numFmt w:val="decimal"/>
      <w:start w:val="1"/>
    </w:lvl>
  </w:abstractNum>
  <w:abstractNum w:abstractNumId="193">
    <w:nsid w:val="63F37E85"/>
    <w:multiLevelType w:val="hybridMultilevel"/>
    <w:lvl w:ilvl="0">
      <w:lvlJc w:val="left"/>
      <w:lvlText w:val="%1."/>
      <w:numFmt w:val="decimal"/>
      <w:start w:val="2"/>
    </w:lvl>
  </w:abstractNum>
  <w:abstractNum w:abstractNumId="194">
    <w:nsid w:val="5895F5FA"/>
    <w:multiLevelType w:val="hybridMultilevel"/>
    <w:lvl w:ilvl="0">
      <w:lvlJc w:val="left"/>
      <w:lvlText w:val="%1."/>
      <w:numFmt w:val="decimal"/>
      <w:start w:val="3"/>
    </w:lvl>
  </w:abstractNum>
  <w:abstractNum w:abstractNumId="195">
    <w:nsid w:val="38A5D054"/>
    <w:multiLevelType w:val="hybridMultilevel"/>
    <w:lvl w:ilvl="0">
      <w:lvlJc w:val="left"/>
      <w:lvlText w:val="%1."/>
      <w:numFmt w:val="decimal"/>
      <w:start w:val="4"/>
    </w:lvl>
    <w:lvl w:ilvl="1">
      <w:lvlJc w:val="left"/>
      <w:lvlText w:val="(%2)"/>
      <w:numFmt w:val="lowerLetter"/>
      <w:start w:val="1"/>
    </w:lvl>
  </w:abstractNum>
  <w:abstractNum w:abstractNumId="196">
    <w:nsid w:val="F3F09D8"/>
    <w:multiLevelType w:val="hybridMultilevel"/>
    <w:lvl w:ilvl="0">
      <w:lvlJc w:val="left"/>
      <w:lvlText w:val="(%1)"/>
      <w:numFmt w:val="lowerLetter"/>
      <w:start w:val="2"/>
    </w:lvl>
    <w:lvl w:ilvl="1">
      <w:lvlJc w:val="left"/>
      <w:lvlText w:val="(%2)"/>
      <w:numFmt w:val="lowerRoman"/>
      <w:start w:val="1"/>
    </w:lvl>
  </w:abstractNum>
  <w:abstractNum w:abstractNumId="197">
    <w:nsid w:val="4B793735"/>
    <w:multiLevelType w:val="hybridMultilevel"/>
    <w:lvl w:ilvl="0">
      <w:lvlJc w:val="left"/>
      <w:lvlText w:val="%1"/>
      <w:numFmt w:val="decimal"/>
      <w:start w:val="1"/>
    </w:lvl>
    <w:lvl w:ilvl="1">
      <w:lvlJc w:val="left"/>
      <w:lvlText w:val="(%2)"/>
      <w:numFmt w:val="lowerLetter"/>
      <w:start w:val="6"/>
    </w:lvl>
  </w:abstractNum>
  <w:abstractNum w:abstractNumId="198">
    <w:nsid w:val="4A10B4E8"/>
    <w:multiLevelType w:val="hybridMultilevel"/>
    <w:lvl w:ilvl="0">
      <w:lvlJc w:val="left"/>
      <w:lvlText w:val="%1."/>
      <w:numFmt w:val="decimal"/>
      <w:start w:val="5"/>
    </w:lvl>
    <w:lvl w:ilvl="1">
      <w:lvlJc w:val="left"/>
      <w:lvlText w:val="%2"/>
      <w:numFmt w:val="lowerLetter"/>
      <w:start w:val="1"/>
    </w:lvl>
  </w:abstractNum>
  <w:abstractNum w:abstractNumId="199">
    <w:nsid w:val="43D3BCD4"/>
    <w:multiLevelType w:val="hybridMultilevel"/>
    <w:lvl w:ilvl="0">
      <w:lvlJc w:val="left"/>
      <w:lvlText w:val="%1."/>
      <w:numFmt w:val="decimal"/>
      <w:start w:val="6"/>
    </w:lvl>
  </w:abstractNum>
  <w:abstractNum w:abstractNumId="200">
    <w:nsid w:val="4C2A7166"/>
    <w:multiLevelType w:val="hybridMultilevel"/>
    <w:lvl w:ilvl="0">
      <w:lvlJc w:val="left"/>
      <w:lvlText w:val="%1."/>
      <w:numFmt w:val="decimal"/>
      <w:start w:val="7"/>
    </w:lvl>
  </w:abstractNum>
  <w:abstractNum w:abstractNumId="201">
    <w:nsid w:val="2E534A82"/>
    <w:multiLevelType w:val="hybridMultilevel"/>
    <w:lvl w:ilvl="0">
      <w:lvlJc w:val="left"/>
      <w:lvlText w:val="%1."/>
      <w:numFmt w:val="decimal"/>
      <w:start w:val="8"/>
    </w:lvl>
  </w:abstractNum>
  <w:abstractNum w:abstractNumId="202">
    <w:nsid w:val="26F2D364"/>
    <w:multiLevelType w:val="hybridMultilevel"/>
    <w:lvl w:ilvl="0">
      <w:lvlJc w:val="left"/>
      <w:lvlText w:val="%1."/>
      <w:numFmt w:val="decimal"/>
      <w:start w:val="9"/>
    </w:lvl>
  </w:abstractNum>
  <w:abstractNum w:abstractNumId="203">
    <w:nsid w:val="71C1AF9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202"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jpeg"/><Relationship Id="rId228" Type="http://schemas.openxmlformats.org/officeDocument/2006/relationships/image" Target="media/image202.jpeg"/><Relationship Id="rId229" Type="http://schemas.openxmlformats.org/officeDocument/2006/relationships/image" Target="media/image203.jpeg"/><Relationship Id="rId230" Type="http://schemas.openxmlformats.org/officeDocument/2006/relationships/image" Target="media/image204.png"/><Relationship Id="rId231" Type="http://schemas.openxmlformats.org/officeDocument/2006/relationships/image" Target="media/image205.jpeg"/><Relationship Id="rId232" Type="http://schemas.openxmlformats.org/officeDocument/2006/relationships/image" Target="media/image206.jpeg"/><Relationship Id="rId233" Type="http://schemas.openxmlformats.org/officeDocument/2006/relationships/image" Target="media/image207.jpeg"/><Relationship Id="rId234" Type="http://schemas.openxmlformats.org/officeDocument/2006/relationships/image" Target="media/image208.png"/><Relationship Id="rId235" Type="http://schemas.openxmlformats.org/officeDocument/2006/relationships/image" Target="media/image209.jpeg"/><Relationship Id="rId236" Type="http://schemas.openxmlformats.org/officeDocument/2006/relationships/image" Target="media/image210.jpeg"/><Relationship Id="rId237" Type="http://schemas.openxmlformats.org/officeDocument/2006/relationships/image" Target="media/image211.jpeg"/><Relationship Id="rId238" Type="http://schemas.openxmlformats.org/officeDocument/2006/relationships/image" Target="media/image212.png"/><Relationship Id="rId239" Type="http://schemas.openxmlformats.org/officeDocument/2006/relationships/image" Target="media/image213.jpeg"/><Relationship Id="rId240" Type="http://schemas.openxmlformats.org/officeDocument/2006/relationships/image" Target="media/image214.jpeg"/><Relationship Id="rId241" Type="http://schemas.openxmlformats.org/officeDocument/2006/relationships/image" Target="media/image215.jpeg"/><Relationship Id="rId242" Type="http://schemas.openxmlformats.org/officeDocument/2006/relationships/image" Target="media/image216.png"/><Relationship Id="rId243" Type="http://schemas.openxmlformats.org/officeDocument/2006/relationships/image" Target="media/image217.jpeg"/><Relationship Id="rId244" Type="http://schemas.openxmlformats.org/officeDocument/2006/relationships/image" Target="media/image218.png"/><Relationship Id="rId245" Type="http://schemas.openxmlformats.org/officeDocument/2006/relationships/image" Target="media/image219.jpeg"/><Relationship Id="rId246" Type="http://schemas.openxmlformats.org/officeDocument/2006/relationships/image" Target="media/image220.jpeg"/><Relationship Id="rId247" Type="http://schemas.openxmlformats.org/officeDocument/2006/relationships/image" Target="media/image221.jpeg"/><Relationship Id="rId248" Type="http://schemas.openxmlformats.org/officeDocument/2006/relationships/image" Target="media/image222.png"/><Relationship Id="rId249" Type="http://schemas.openxmlformats.org/officeDocument/2006/relationships/image" Target="media/image223.jpeg"/><Relationship Id="rId250" Type="http://schemas.openxmlformats.org/officeDocument/2006/relationships/image" Target="media/image224.png"/><Relationship Id="rId251" Type="http://schemas.openxmlformats.org/officeDocument/2006/relationships/image" Target="media/image225.jpeg"/><Relationship Id="rId252" Type="http://schemas.openxmlformats.org/officeDocument/2006/relationships/image" Target="media/image226.jpeg"/><Relationship Id="rId253" Type="http://schemas.openxmlformats.org/officeDocument/2006/relationships/image" Target="media/image227.jpe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95" Type="http://schemas.openxmlformats.org/officeDocument/2006/relationships/hyperlink" Target="https://www.sec.gov/Archives/edgar/data/1639723/000162828025047640/navan-424b4.htm" TargetMode="External"/><Relationship Id="rId192" Type="http://schemas.openxmlformats.org/officeDocument/2006/relationships/hyperlink" Target="https://www.sec.gov/Archives/edgar/data/1639723/000162828025047879/exhibit31-closing8xk.htm" TargetMode="External"/><Relationship Id="rId193" Type="http://schemas.openxmlformats.org/officeDocument/2006/relationships/hyperlink" Target="https://www.sec.gov/Archives/edgar/data/1639723/000162828025044812/exhibit34-sx1a.htm" TargetMode="External"/><Relationship Id="rId194" Type="http://schemas.openxmlformats.org/officeDocument/2006/relationships/hyperlink" Target="https://www.sec.gov/Archives/edgar/data/1639723/000162828025044812/exhibit41-sx1a.htm" TargetMode="External"/><Relationship Id="rId195" Type="http://schemas.openxmlformats.org/officeDocument/2006/relationships/hyperlink" Target="https://www.sec.gov/Archives/edgar/data/1639723/000162828025042130/exhibit42-sx1.htm" TargetMode="External"/><Relationship Id="rId196" Type="http://schemas.openxmlformats.org/officeDocument/2006/relationships/hyperlink" Target="https://www.sec.gov/Archives/edgar/data/1639723/000162828025047879/exhibit101-closing8xk.htm" TargetMode="External"/><Relationship Id="rId197" Type="http://schemas.openxmlformats.org/officeDocument/2006/relationships/hyperlink" Target="https://www.sec.gov/Archives/edgar/data/1639723/000162828025047879/exhibit102-closing8xk.htm" TargetMode="External"/><Relationship Id="rId198" Type="http://schemas.openxmlformats.org/officeDocument/2006/relationships/hyperlink" Target="https://www.sec.gov/Archives/edgar/data/1639723/000162828025047879/exhibit103-closing8xk.htm" TargetMode="External"/><Relationship Id="rId199" Type="http://schemas.openxmlformats.org/officeDocument/2006/relationships/hyperlink" Target="https://www.sec.gov/Archives/edgar/data/1639723/000163972325000017/exhibits104-navanx2025equi.htm" TargetMode="External"/><Relationship Id="rId200" Type="http://schemas.openxmlformats.org/officeDocument/2006/relationships/hyperlink" Target="https://www.sec.gov/Archives/edgar/data/1639723/000162828025044812/exhibit104s-1a.htm" TargetMode="External"/><Relationship Id="rId201" Type="http://schemas.openxmlformats.org/officeDocument/2006/relationships/hyperlink" Target="https://www.sec.gov/Archives/edgar/data/1639723/000163972325000017/exhibit106-nonxemployeedir.htm" TargetMode="External"/><Relationship Id="rId203" Type="http://schemas.openxmlformats.org/officeDocument/2006/relationships/hyperlink" Target="https://www.sec.gov/Archives/edgar/data/1639723/000163972325000017/exhibit107cashincentivebon.htm" TargetMode="External"/><Relationship Id="rId204" Type="http://schemas.openxmlformats.org/officeDocument/2006/relationships/hyperlink" Target="https://www.sec.gov/Archives/edgar/data/1639723/000162828025044812/exhibit105-sx1a.htm" TargetMode="External"/><Relationship Id="rId205" Type="http://schemas.openxmlformats.org/officeDocument/2006/relationships/hyperlink" Target="https://www.sec.gov/Archives/edgar/data/1639723/000162828025044812/exhibit106-sx1a.htm" TargetMode="External"/><Relationship Id="rId206" Type="http://schemas.openxmlformats.org/officeDocument/2006/relationships/hyperlink" Target="https://www.sec.gov/Archives/edgar/data/1639723/000162828025044812/exhibit107-sx1a.htm" TargetMode="External"/><Relationship Id="rId207" Type="http://schemas.openxmlformats.org/officeDocument/2006/relationships/hyperlink" Target="https://www.sec.gov/Archives/edgar/data/1639723/000162828025042130/exhibit101-sx1.htm" TargetMode="External"/><Relationship Id="rId208" Type="http://schemas.openxmlformats.org/officeDocument/2006/relationships/hyperlink" Target="https://www.sec.gov/Archives/edgar/data/1639723/000162828025044812/exhibit108-sx1a.htm" TargetMode="External"/><Relationship Id="rId209" Type="http://schemas.openxmlformats.org/officeDocument/2006/relationships/hyperlink" Target="https://www.sec.gov/Archives/edgar/data/1639723/000162828025042130/exhibit1010-sx1.htm" TargetMode="External"/><Relationship Id="rId210" Type="http://schemas.openxmlformats.org/officeDocument/2006/relationships/hyperlink" Target="https://www.sec.gov/Archives/edgar/data/1639723/000162828025042130/exhibit109-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2026-04-02T16:00:16Z</dcterms:created>
  <dcterms:modified xsi:type="dcterms:W3CDTF">2026-04-02T16:00:16Z</dcterms:modified>
</cp:coreProperties>
</file>