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of the Securities Exchange Act of 1934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Date of Report (Date of earliest event reported): June 10,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48"/>
        </w:rPr>
      </w:pPr>
      <w:r>
        <w:rPr>
          <w:rFonts w:ascii="Arial;sans-serif" w:hAnsi="Arial;sans-serif"/>
          <w:b/>
          <w:color w:val="000000"/>
          <w:sz w:val="48"/>
        </w:rPr>
        <w:t>NAVAN,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6669" w:type="dxa"/>
        <w:jc w:val="left"/>
        <w:tblInd w:w="0" w:type="dxa"/>
        <w:tblLayout w:type="fixed"/>
        <w:tblCellMar>
          <w:top w:w="28" w:type="dxa"/>
          <w:left w:w="28" w:type="dxa"/>
          <w:bottom w:w="28" w:type="dxa"/>
          <w:right w:w="28" w:type="dxa"/>
        </w:tblCellMar>
      </w:tblPr>
      <w:tblGrid>
        <w:gridCol w:w="1182"/>
        <w:gridCol w:w="1040"/>
        <w:gridCol w:w="1048"/>
        <w:gridCol w:w="109"/>
        <w:gridCol w:w="109"/>
        <w:gridCol w:w="109"/>
        <w:gridCol w:w="389"/>
        <w:gridCol w:w="389"/>
        <w:gridCol w:w="393"/>
        <w:gridCol w:w="109"/>
        <w:gridCol w:w="109"/>
        <w:gridCol w:w="109"/>
        <w:gridCol w:w="460"/>
        <w:gridCol w:w="460"/>
        <w:gridCol w:w="6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001-42922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47-3424780</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3045 Park Boulevard</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94306</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(888) 505-8747</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Not Applicable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8261" w:type="dxa"/>
        <w:jc w:val="left"/>
        <w:tblInd w:w="0" w:type="dxa"/>
        <w:tblLayout w:type="fixed"/>
        <w:tblCellMar>
          <w:top w:w="28" w:type="dxa"/>
          <w:left w:w="28" w:type="dxa"/>
          <w:bottom w:w="28" w:type="dxa"/>
          <w:right w:w="28" w:type="dxa"/>
        </w:tblCellMar>
      </w:tblPr>
      <w:tblGrid>
        <w:gridCol w:w="124"/>
        <w:gridCol w:w="109"/>
        <w:gridCol w:w="109"/>
        <w:gridCol w:w="2316"/>
        <w:gridCol w:w="2316"/>
        <w:gridCol w:w="3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Written communications pursuant to Rule 425 under the Securities Act (17 CFR 230.425) </w:t>
            </w:r>
          </w:p>
        </w:tc>
      </w:tr>
    </w:tbl>
    <w:tbl>
      <w:tblPr>
        <w:tblW w:w="8247" w:type="dxa"/>
        <w:jc w:val="left"/>
        <w:tblInd w:w="0" w:type="dxa"/>
        <w:tblLayout w:type="fixed"/>
        <w:tblCellMar>
          <w:top w:w="28" w:type="dxa"/>
          <w:left w:w="28" w:type="dxa"/>
          <w:bottom w:w="28" w:type="dxa"/>
          <w:right w:w="28" w:type="dxa"/>
        </w:tblCellMar>
      </w:tblPr>
      <w:tblGrid>
        <w:gridCol w:w="124"/>
        <w:gridCol w:w="109"/>
        <w:gridCol w:w="109"/>
        <w:gridCol w:w="2315"/>
        <w:gridCol w:w="2315"/>
        <w:gridCol w:w="3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8977" w:type="dxa"/>
        <w:jc w:val="left"/>
        <w:tblInd w:w="0" w:type="dxa"/>
        <w:tblLayout w:type="fixed"/>
        <w:tblCellMar>
          <w:top w:w="28" w:type="dxa"/>
          <w:left w:w="28" w:type="dxa"/>
          <w:bottom w:w="28" w:type="dxa"/>
          <w:right w:w="28" w:type="dxa"/>
        </w:tblCellMar>
      </w:tblPr>
      <w:tblGrid>
        <w:gridCol w:w="1615"/>
        <w:gridCol w:w="1418"/>
        <w:gridCol w:w="1436"/>
        <w:gridCol w:w="109"/>
        <w:gridCol w:w="109"/>
        <w:gridCol w:w="109"/>
        <w:gridCol w:w="304"/>
        <w:gridCol w:w="304"/>
        <w:gridCol w:w="306"/>
        <w:gridCol w:w="109"/>
        <w:gridCol w:w="109"/>
        <w:gridCol w:w="109"/>
        <w:gridCol w:w="861"/>
        <w:gridCol w:w="861"/>
        <w:gridCol w:w="1218"/>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Name of each exchange</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on which registered</w:t>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 A Common Stock, $0.00000625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June 10, 2026, Navan, Inc. (the “Company”) issued a press release announcing financial results for the fiscal quarter ended April 30, 2026 and other business highlights. A copy of the press release is being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 xml:space="preserve">On June 10, 2026, the Company posted supplemental investor materials, including prepared remarks and a slide presentation, on its investors.navan.com website.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Items 2.02 and 7.01 of this Current Report on Form 8-K and the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incorporated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(d)Exhibits</w:t>
      </w:r>
    </w:p>
    <w:tbl>
      <w:tblPr>
        <w:tblW w:w="8337"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054"/>
        <w:gridCol w:w="2054"/>
        <w:gridCol w:w="291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Arial;sans-serif" w:hAnsi="Arial;sans-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Arial;sans-serif" w:hAnsi="Arial;sans-serif"/>
                  <w:b w:val="false"/>
                  <w:color w:val="000080"/>
                  <w:sz w:val="20"/>
                  <w:u w:val="single"/>
                </w:rPr>
                <w:t xml:space="preserve">Press Release dated </w:t>
              </w:r>
            </w:hyperlink>
            <w:hyperlink w:anchor="exhibit991-earningspressre.htm">
              <w:r>
                <w:rPr>
                  <w:rStyle w:val="InternetLink"/>
                  <w:rFonts w:ascii="Arial;sans-serif" w:hAnsi="Arial;sans-serif"/>
                  <w:b w:val="false"/>
                  <w:color w:val="000080"/>
                  <w:sz w:val="20"/>
                  <w:u w:val="single"/>
                </w:rPr>
                <w:t>June</w:t>
              </w:r>
            </w:hyperlink>
            <w:hyperlink w:anchor="exhibit991-earningspressre.htm">
              <w:r>
                <w:rPr>
                  <w:rStyle w:val="InternetLink"/>
                  <w:rFonts w:ascii="Arial;sans-serif" w:hAnsi="Arial;sans-serif"/>
                  <w:b w:val="false"/>
                  <w:color w:val="000080"/>
                  <w:sz w:val="20"/>
                  <w:u w:val="single"/>
                </w:rPr>
                <w:t xml:space="preserve"> </w:t>
              </w:r>
            </w:hyperlink>
            <w:hyperlink w:anchor="exhibit991-earningspressre.htm">
              <w:r>
                <w:rPr>
                  <w:rStyle w:val="InternetLink"/>
                  <w:rFonts w:ascii="Arial;sans-serif" w:hAnsi="Arial;sans-serif"/>
                  <w:b w:val="false"/>
                  <w:color w:val="000080"/>
                  <w:sz w:val="20"/>
                  <w:u w:val="single"/>
                </w:rPr>
                <w:t>10</w:t>
              </w:r>
            </w:hyperlink>
            <w:hyperlink w:anchor="exhibit991-earningspressre.htm">
              <w:r>
                <w:rPr>
                  <w:rStyle w:val="InternetLink"/>
                  <w:rFonts w:ascii="Arial;sans-serif" w:hAnsi="Arial;sans-serif"/>
                  <w:b w:val="false"/>
                  <w:color w:val="000080"/>
                  <w:sz w:val="20"/>
                  <w:u w:val="single"/>
                </w:rPr>
                <w:t>, 2026</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702" w:type="dxa"/>
        <w:jc w:val="left"/>
        <w:tblInd w:w="0" w:type="dxa"/>
        <w:tblLayout w:type="fixed"/>
        <w:tblCellMar>
          <w:top w:w="28" w:type="dxa"/>
          <w:left w:w="28" w:type="dxa"/>
          <w:bottom w:w="28" w:type="dxa"/>
          <w:right w:w="28" w:type="dxa"/>
        </w:tblCellMar>
      </w:tblPr>
      <w:tblGrid>
        <w:gridCol w:w="716"/>
        <w:gridCol w:w="630"/>
        <w:gridCol w:w="633"/>
        <w:gridCol w:w="183"/>
        <w:gridCol w:w="183"/>
        <w:gridCol w:w="183"/>
        <w:gridCol w:w="628"/>
        <w:gridCol w:w="628"/>
        <w:gridCol w:w="918"/>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Navan, Inc.</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June 10, 2026</w:t>
            </w:r>
          </w:p>
        </w:tc>
        <w:tc>
          <w:tcPr>
            <w:tcW w:w="27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Ariel Cohen</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Ariel Cohen</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Navan Announces First Quarter Fiscal Year 2027 Results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Revenue Growth Accelerates to 40% Year-Over-Year with $220 million in Revenue</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Gross Booking Volume (“GBV”) Surges 50% Year-Over-Year to a Record $3.1 billion</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Raises Fiscal Year 2027 Guidance to 30% Year-Over-Year Revenue Growth, from 24% Previously</w:t>
      </w:r>
    </w:p>
    <w:p>
      <w:pPr>
        <w:pStyle w:val="TextBody"/>
        <w:bidi w:val="0"/>
        <w:spacing w:before="0" w:after="180"/>
        <w:jc w:val="left"/>
        <w:rPr/>
      </w:pPr>
      <w:r>
        <w:rPr/>
      </w:r>
    </w:p>
    <w:p>
      <w:pPr>
        <w:pStyle w:val="TextBody"/>
        <w:bidi w:val="0"/>
        <w:spacing w:lineRule="auto" w:line="288" w:before="120" w:after="180"/>
        <w:jc w:val="both"/>
        <w:rPr/>
      </w:pPr>
      <w:r>
        <w:rPr>
          <w:rFonts w:ascii="Arial;sans-serif" w:hAnsi="Arial;sans-serif"/>
          <w:b/>
          <w:color w:val="000000"/>
          <w:sz w:val="18"/>
        </w:rPr>
        <w:t>PALO ALTO, CA, June 10, 2026 — Navan, Inc.</w:t>
      </w:r>
      <w:r>
        <w:rPr>
          <w:color w:val="000000"/>
        </w:rPr>
        <w:t xml:space="preserve"> </w:t>
      </w:r>
      <w:r>
        <w:rPr>
          <w:rFonts w:ascii="Arial;sans-serif" w:hAnsi="Arial;sans-serif"/>
          <w:b w:val="false"/>
          <w:color w:val="000000"/>
          <w:sz w:val="18"/>
        </w:rPr>
        <w:t>(NASDAQ: NAVN), the global AI-powered business travel and expense platform, today reported financial results for its first quarter ended April 30, 2026.</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Management Commentary:</w:t>
      </w:r>
    </w:p>
    <w:p>
      <w:pPr>
        <w:pStyle w:val="TextBody"/>
        <w:bidi w:val="0"/>
        <w:spacing w:lineRule="auto" w:line="288" w:before="120" w:after="180"/>
        <w:jc w:val="both"/>
        <w:rPr>
          <w:color w:val="000000"/>
        </w:rPr>
      </w:pPr>
      <w:r>
        <w:rPr>
          <w:color w:val="000000"/>
        </w:rPr>
        <w:t>“</w:t>
      </w:r>
      <w:r>
        <w:rPr>
          <w:rFonts w:ascii="Arial;sans-serif" w:hAnsi="Arial;sans-serif"/>
          <w:b w:val="false"/>
          <w:color w:val="000000"/>
          <w:sz w:val="18"/>
        </w:rPr>
        <w:t>Navan kicked off fiscal 2027 with an outstanding first quarter, driven by accelerating growth across the business and a 50% year-over-year increase in Gross Booking Volume," said Ariel Cohen, Navan co-founder and CEO. "Our strong performance and continued enterprise momentum give us the confidence to raise our guidance for the fiscal year. We are executing exceptionally well and leveraging our proprietary, AI-led platform to deliver an unmatched customer experience at scale, seamlessly orchestrating human and AI agents. We are not just building the best travel agency on the planet; we are working to define the future of travel.”</w:t>
      </w:r>
    </w:p>
    <w:p>
      <w:pPr>
        <w:pStyle w:val="TextBody"/>
        <w:bidi w:val="0"/>
        <w:spacing w:lineRule="auto" w:line="288" w:before="120" w:after="180"/>
        <w:jc w:val="both"/>
        <w:rPr>
          <w:color w:val="000000"/>
        </w:rPr>
      </w:pPr>
      <w:r>
        <w:rPr>
          <w:color w:val="000000"/>
        </w:rPr>
        <w:t>“</w:t>
      </w:r>
      <w:r>
        <w:rPr>
          <w:rFonts w:ascii="Arial;sans-serif" w:hAnsi="Arial;sans-serif"/>
          <w:b w:val="false"/>
          <w:color w:val="000000"/>
          <w:sz w:val="18"/>
        </w:rPr>
        <w:t xml:space="preserve">Navan delivered an exceptional first quarter, highlighted by revenue growth of 40% year-over-year, and GBV growth of 50% year-over-year, surpassing the $3 billion milestone,” said Aurélien Nolf, Navan CFO. “The strength was driven by very resilient on-platform booking activity, strong new-customer ramps, and rapidly expanding payments volume. This growth enabled us to deliver meaningful gross and operating margin expansion, underscoring the leverage potential in our business as we scale. With a strong balance sheet and accelerating momentum across the business, we are raising both our FY’27 revenue and non-GAAP operating profit outlook.” </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First Quarter Fiscal Year 2027 Financial Highlights: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Revenue</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Total Revenue was $220 million, an increase of 40% year-over-year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Usage revenue was $202 million, an increase of 41% year-over-year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Subscription revenue was $18 million, an increase of 26% year-over-year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Gross Booking Volume grew 50% year-over-year, to $3.1 billion in the quarter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Payment Volume grew 29% year-over-year, to $1.3 billion in the quarter</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Gross Profit</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GAAP gross profit reached $163 million, representing 74% gross margin, compared to $112 million, or 71% gross margin in the first quarter of fiscal year 2026</w:t>
      </w:r>
    </w:p>
    <w:p>
      <w:pPr>
        <w:pStyle w:val="TextBody"/>
        <w:bidi w:val="0"/>
        <w:spacing w:lineRule="atLeast" w:line="260" w:before="0" w:after="180"/>
        <w:ind w:left="0" w:right="0" w:hanging="360"/>
        <w:jc w:val="both"/>
        <w:rPr/>
      </w:pPr>
      <w:r>
        <w:rPr>
          <w:color w:val="000000"/>
        </w:rPr>
        <w:t>•</w:t>
      </w:r>
      <w:r>
        <w:rPr>
          <w:rFonts w:ascii="Arial;sans-serif" w:hAnsi="Arial;sans-serif"/>
          <w:b w:val="false"/>
          <w:color w:val="000000"/>
          <w:sz w:val="18"/>
        </w:rPr>
        <w:t>Non-GAAP gross profit was $165 million, representing 75% non-GAAP gross margin, compared to $113 million, or 72% non-GAAP gross margin in the first quarter of fiscal year 2026</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Income (Loss) from Operations</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GAAP loss from operations was $18 million, compared to a loss from operations of $16 million in the first quarter of fiscal year 2026; GAAP operating margin was (8)%, compared to (10)% in the first quarter of fiscal year 2026</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Non-GAAP income from operations was $24 million, compared to non-GAAP income from operations of $3 million in the first quarter of fiscal year 2026; non-GAAP operating margin was 11%, compared to 2% in the first quarter of fiscal year 2026</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Net Income (Loss)</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GAAP net loss was $21 million, compared to a net loss of $61 million in the first quarter of fiscal year 2026</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Non-GAAP net income was $22 million, compared to a non-GAAP net loss of $7 million in the first quarter of fiscal year 2026</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Recent Business Highlights:</w:t>
      </w:r>
    </w:p>
    <w:p>
      <w:pPr>
        <w:pStyle w:val="TextBody"/>
        <w:bidi w:val="0"/>
        <w:spacing w:lineRule="auto" w:line="288" w:before="20" w:after="20"/>
        <w:ind w:left="0" w:right="0" w:hanging="360"/>
        <w:jc w:val="both"/>
        <w:rPr/>
      </w:pPr>
      <w:r>
        <w:rPr>
          <w:color w:val="000000"/>
        </w:rPr>
        <w:t>•</w:t>
      </w:r>
      <w:r>
        <w:rPr>
          <w:rFonts w:ascii="Arial;sans-serif" w:hAnsi="Arial;sans-serif"/>
          <w:b/>
          <w:color w:val="000000"/>
          <w:sz w:val="18"/>
        </w:rPr>
        <w:t>Unveiled Navan Anywhere:</w:t>
      </w:r>
      <w:r>
        <w:rPr>
          <w:color w:val="000000"/>
        </w:rPr>
        <w:t xml:space="preserve"> </w:t>
      </w:r>
      <w:r>
        <w:rPr>
          <w:rFonts w:ascii="Arial;sans-serif" w:hAnsi="Arial;sans-serif"/>
          <w:b w:val="false"/>
          <w:color w:val="000000"/>
          <w:sz w:val="18"/>
        </w:rPr>
        <w:t xml:space="preserve">Enabling Navan customers to book wherever and however they want without friction by embedding Navan directly into the tools that employees already use every day. Travelers that have Gemini Enterprise and Navan at work will be able to book their travel with Navan through Gemini Enterprise. Navan plans to expand the footprint of Navan Anywhere, with rollout of seamless access across additional corporate platforms and third-party user interfaces later this year. </w:t>
      </w:r>
    </w:p>
    <w:p>
      <w:pPr>
        <w:pStyle w:val="TextBody"/>
        <w:bidi w:val="0"/>
        <w:spacing w:lineRule="auto" w:line="288" w:before="20" w:after="20"/>
        <w:ind w:left="0" w:right="0" w:hanging="360"/>
        <w:jc w:val="both"/>
        <w:rPr/>
      </w:pPr>
      <w:r>
        <w:rPr>
          <w:color w:val="000000"/>
        </w:rPr>
        <w:t>•</w:t>
      </w:r>
      <w:r>
        <w:rPr>
          <w:rFonts w:ascii="Arial;sans-serif" w:hAnsi="Arial;sans-serif"/>
          <w:b/>
          <w:color w:val="000000"/>
          <w:sz w:val="18"/>
        </w:rPr>
        <w:t>Launched New AI-Powered Features:</w:t>
      </w:r>
      <w:r>
        <w:rPr>
          <w:color w:val="000000"/>
        </w:rPr>
        <w:t xml:space="preserve"> </w:t>
      </w:r>
      <w:r>
        <w:rPr>
          <w:rFonts w:ascii="Arial;sans-serif" w:hAnsi="Arial;sans-serif"/>
          <w:b w:val="false"/>
          <w:color w:val="000000"/>
          <w:sz w:val="18"/>
        </w:rPr>
        <w:t xml:space="preserve">Saving companies time and money through Travel Admin Companion, Expense Admin Companion, and Book with AI. Also launched </w:t>
      </w:r>
      <w:r>
        <w:rPr>
          <w:rFonts w:ascii="Arial;sans-serif" w:hAnsi="Arial;sans-serif"/>
          <w:b/>
          <w:color w:val="000000"/>
          <w:sz w:val="18"/>
        </w:rPr>
        <w:t>AI-powered Audit Engine</w:t>
      </w:r>
      <w:r>
        <w:rPr>
          <w:rFonts w:ascii="Arial;sans-serif" w:hAnsi="Arial;sans-serif"/>
          <w:b w:val="false"/>
          <w:color w:val="000000"/>
          <w:sz w:val="18"/>
        </w:rPr>
        <w:t>, which provides real-time protection against high-stakes threats.</w:t>
      </w:r>
    </w:p>
    <w:p>
      <w:pPr>
        <w:pStyle w:val="TextBody"/>
        <w:bidi w:val="0"/>
        <w:spacing w:lineRule="auto" w:line="288" w:before="20" w:after="20"/>
        <w:ind w:left="0" w:right="0" w:hanging="360"/>
        <w:jc w:val="both"/>
        <w:rPr/>
      </w:pPr>
      <w:r>
        <w:rPr>
          <w:color w:val="000000"/>
        </w:rPr>
        <w:t>•</w:t>
      </w:r>
      <w:r>
        <w:rPr>
          <w:rFonts w:ascii="Arial;sans-serif" w:hAnsi="Arial;sans-serif"/>
          <w:b/>
          <w:color w:val="000000"/>
          <w:sz w:val="18"/>
        </w:rPr>
        <w:t>Continued Enterprise Momentum:</w:t>
      </w:r>
      <w:r>
        <w:rPr>
          <w:color w:val="000000"/>
        </w:rPr>
        <w:t xml:space="preserve"> </w:t>
      </w:r>
      <w:r>
        <w:rPr>
          <w:rFonts w:ascii="Arial;sans-serif" w:hAnsi="Arial;sans-serif"/>
          <w:b w:val="false"/>
          <w:color w:val="000000"/>
          <w:sz w:val="18"/>
        </w:rPr>
        <w:t xml:space="preserve">Winning the enterprise market by partnering with companies like Allegiant, Criteo, Schindler, and Simplot to modernize their travel and expense programs. </w:t>
      </w:r>
    </w:p>
    <w:p>
      <w:pPr>
        <w:pStyle w:val="TextBody"/>
        <w:bidi w:val="0"/>
        <w:spacing w:before="0" w:after="18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20" w:after="20"/>
        <w:ind w:left="0" w:right="0" w:hanging="360"/>
        <w:jc w:val="both"/>
        <w:rPr/>
      </w:pPr>
      <w:r>
        <w:rPr>
          <w:color w:val="000000"/>
        </w:rPr>
        <w:t>•</w:t>
      </w:r>
      <w:r>
        <w:rPr>
          <w:rFonts w:ascii="Arial;sans-serif" w:hAnsi="Arial;sans-serif"/>
          <w:b/>
          <w:color w:val="000000"/>
          <w:sz w:val="18"/>
        </w:rPr>
        <w:t>Hosted Inaugural Customer Conference, Navigate:</w:t>
      </w:r>
      <w:r>
        <w:rPr>
          <w:color w:val="000000"/>
        </w:rPr>
        <w:t xml:space="preserve"> </w:t>
      </w:r>
      <w:r>
        <w:rPr>
          <w:rFonts w:ascii="Arial;sans-serif" w:hAnsi="Arial;sans-serif"/>
          <w:b w:val="false"/>
          <w:color w:val="000000"/>
          <w:sz w:val="18"/>
        </w:rPr>
        <w:t xml:space="preserve">Welcoming more than 400 travel, finance, and procurement leaders from companies around the world to chart the future of travel and expense. </w:t>
      </w:r>
    </w:p>
    <w:p>
      <w:pPr>
        <w:pStyle w:val="TextBody"/>
        <w:bidi w:val="0"/>
        <w:spacing w:lineRule="auto" w:line="288" w:before="20" w:after="20"/>
        <w:ind w:left="0" w:right="0" w:hanging="360"/>
        <w:jc w:val="both"/>
        <w:rPr/>
      </w:pPr>
      <w:r>
        <w:rPr>
          <w:color w:val="000000"/>
        </w:rPr>
        <w:t>•</w:t>
      </w:r>
      <w:r>
        <w:rPr>
          <w:rFonts w:ascii="Arial;sans-serif" w:hAnsi="Arial;sans-serif"/>
          <w:b/>
          <w:color w:val="000000"/>
          <w:sz w:val="18"/>
        </w:rPr>
        <w:t>Announced New Distribution Capability (NDC) with Scandinavian Airlines (SAS):</w:t>
      </w:r>
      <w:r>
        <w:rPr>
          <w:color w:val="000000"/>
        </w:rPr>
        <w:t xml:space="preserve"> </w:t>
      </w:r>
      <w:r>
        <w:rPr>
          <w:rFonts w:ascii="Arial;sans-serif" w:hAnsi="Arial;sans-serif"/>
          <w:b w:val="false"/>
          <w:color w:val="000000"/>
          <w:sz w:val="18"/>
        </w:rPr>
        <w:t>Unlocking savings by providing an expanded portfolio of SAS fares and services to Navan customers, as Navan became the first Travel Management Company (TMC) to access SAS NDC content via a direct connection.</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Financial Outlook:</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For the second quarter of fiscal year 2027 (ending July 31, 2026), Navan currently expects:</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 xml:space="preserve">Total revenue in the range of $219 - $221 million, representing year-over-year growth of 28% at the midpoint </w:t>
      </w:r>
    </w:p>
    <w:p>
      <w:pPr>
        <w:pStyle w:val="TextBody"/>
        <w:bidi w:val="0"/>
        <w:spacing w:lineRule="auto" w:line="288" w:before="0" w:after="180"/>
        <w:jc w:val="both"/>
        <w:rPr/>
      </w:pPr>
      <w:r>
        <w:rPr>
          <w:color w:val="000000"/>
        </w:rPr>
        <w:t>•</w:t>
      </w:r>
      <w:r>
        <w:rPr>
          <w:rFonts w:ascii="Arial;sans-serif" w:hAnsi="Arial;sans-serif"/>
          <w:b w:val="false"/>
          <w:color w:val="000000"/>
          <w:sz w:val="18"/>
        </w:rPr>
        <w:t>Non-GAAP income from operations of $13.5 - $14.5 million and non-GAAP operating margin of 6% at the midpoint</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For the fiscal year 2027 (ending January 31, 2027), Navan increased its outlook to:</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Total revenue in the range of $907 - $913 million, representing year-over-year growth of 30% at the midpoint</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Non-GAAP income from operations in the range of $76 - $80 million and non-GAAP operating margin of 9% at the midpoint</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Navan's results computed in accordance with GAAP.</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Earnings Webcast:</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Navan will host a conference call on Wednesday, June 10, 2026, at 5:00 p.m. Eastern Time (ET) to discuss the company’s first quarter fiscal 2027 financial results and its business outlook. To register for this conference call, please use this dial-in registration link or visit Navan's Investor Relations website at investors.navan.com. After registering, a confirmation email will be sent, including dial-in details and a unique code for entry. Participants who wish to register for the conference call webcast, please use this link.</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Supplemental materials, including management’s prepared remarks and a slide presentation, will be available on Navan's Investor Relations website at investors.navan.com in advance of the call. An archived webcast of this conference call will also be available on Navan's Investor Relations website.</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The company has used, and intends to continue to use, the investor relations portion of its website as a means of disclosing material non-public information and for complying with disclosure obligations under Regulation FD.</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Non-GAAP Financial Measures: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Navan has provided in this press release supplemental financial information that has not been prepared in accordance with accounting principles generally accepted in the United States (GAAP), including references to non-GAAP gross profit, non-GAAP gross margin, non-GAAP income from operations, non-GAAP operating margin, non-GAAP net income (loss), non-GAAP net income (loss) per share, and free cash flow. Navan uses these non-GAAP financial measures internally in analyzing its financial results and believes that the disclosure of these non-GAAP financial measures is useful to investors as an additional tool to evaluate ongoing operating results and trends and because it allows for greater transparency with respect to key measures used by senior management in our financial and operational decision making.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include these non-GAAP financial measures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A reconciliation of Navan’s historical non-GAAP financial measures presented in this press release to their most directly comparable GAAP measures has been provided in the financial statement tables included herein, and investors are encouraged to review the reconciliations.</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Gross Profit and Non-GAAP Gross Margin</w:t>
      </w:r>
      <w:r>
        <w:rPr>
          <w:rFonts w:ascii="Arial;sans-serif" w:hAnsi="Arial;sans-serif"/>
          <w:b w:val="false"/>
          <w:color w:val="000000"/>
          <w:sz w:val="18"/>
        </w:rPr>
        <w:t>. Navan defines non-GAAP gross profit as GAAP gross profit, excluding stock-based compensation-related charges, amortization of intangible assets, and restructuring costs. Navan defines non-GAAP gross margin as non-GAAP gross profit divided by revenue.</w:t>
      </w:r>
    </w:p>
    <w:p>
      <w:pPr>
        <w:pStyle w:val="TextBody"/>
        <w:bidi w:val="0"/>
        <w:spacing w:before="0" w:after="18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Income from Operations and Non-GAAP Operating Margin</w:t>
      </w:r>
      <w:r>
        <w:rPr>
          <w:rFonts w:ascii="Arial;sans-serif" w:hAnsi="Arial;sans-serif"/>
          <w:b w:val="false"/>
          <w:color w:val="000000"/>
          <w:sz w:val="18"/>
        </w:rPr>
        <w:t>. Navan defines non-GAAP income from operations as GAAP loss from operations, excluding stock-based compensation-related charges, amortization of intangible assets, severance and executive transition costs, and restructuring costs. Navan defines non-GAAP operating margin as non-GAAP income from operations divided by revenue.</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Net Income (Loss)</w:t>
      </w:r>
      <w:r>
        <w:rPr>
          <w:rFonts w:ascii="Arial;sans-serif" w:hAnsi="Arial;sans-serif"/>
          <w:b w:val="false"/>
          <w:color w:val="000000"/>
          <w:sz w:val="18"/>
        </w:rPr>
        <w:t>. Navan defines non-GAAP net income (loss) as GAAP net loss, excluding stock-based compensation-related charges, amortization of intangible assets, amortization of debt discount and debt issuance costs, loss on fair value adjustments, SAFE debt issuance costs expensed, loss on extinguishment of debt, severance and executive transition costs, and restructuring costs, and adjusted to reflect the income tax effects of the non-GAAP adjustments to GAAP loss before income tax expense.</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Net Income (Loss) Per Share</w:t>
      </w:r>
      <w:r>
        <w:rPr>
          <w:rFonts w:ascii="Arial;sans-serif" w:hAnsi="Arial;sans-serif"/>
          <w:b w:val="false"/>
          <w:color w:val="000000"/>
          <w:sz w:val="18"/>
        </w:rPr>
        <w:t>. Navan defines non-GAAP income (loss) per share attributable to common stockholders, basic, as non-GAAP net income (loss) divided by weighted-average shares outstanding used in computing GAAP net loss per share attributable to common stockholders, basic. Navan defines non-GAAP income (loss) per share attributable to common stockholders, diluted, as non-GAAP net income (loss) divided by weighted-average shares outstanding giving effect to the weighted average of all potentially dilutive common stock equivalents outstanding for the period including options to purchase common stock, restricted stock units, and employee stock purchase rights under our 2025 Employee Stock Purchase Plan. The dilutive effect of outstanding stock awards is reflected in non-GAAP diluted income per share by application of the treasury method.</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Free Cash Flow</w:t>
      </w:r>
      <w:r>
        <w:rPr>
          <w:rFonts w:ascii="Arial;sans-serif" w:hAnsi="Arial;sans-serif"/>
          <w:b w:val="false"/>
          <w:color w:val="000000"/>
          <w:sz w:val="18"/>
        </w:rPr>
        <w:t>. Navan defines free cash flow as GAAP net cash provided by (used in) operating activities reduced by cash used for investing activities for capitalized software development costs and purchases of property and equipment. We believe that free cash flow is a meaningful indicator of our sources of liquidity and capital requirements that provides information to management and investors in evaluating the cash flow trends of our business.</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Key Business Metrics: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Gross Booking Volume (GBV)</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Payment Volume</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Forward-Looking Statements: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This press release and the related conference call contain express and implied “forward-looking statements” within the meaning of the Private Securities Litigation Reform Act of 1995, including, but not limited to, statements regarding the performance of Navan’s business, Navan’s financial results, including Navan’s anticipated total revenue, non-GAAP income from operations, and non-GAAP operating margin for the fiscal quarter ending July 31, 2026 and the fiscal year ending January 31, 2027, Navan’s liquidity and capital resources, the size of Navan’s market opportunity, market trends, the company’s business strategy and plans and other non-historical statements. In some cases, you can identify forward-looking statements by terms such as “anticipate,” “believe,” “continue,” “estimate,” “expect,” “intend,” “may,” “plan,” “project,” “will,” or similar expressions. Such statements are subject to risks, uncertainties and other factors that may cause actual results to be materially different from any future results expressed or implied by the forward-looking statements. These include, but are not limited to: Navan’s limited operating history; the growth rate of the markets in which Navan competes; Navan’s ability to effectively manage and sustain its growth; Navan’s ability to compete with existing competitors and new market entrants; Navan’s ability to attract new customers and to renew and expand its relationships with current customers; adverse changes in relationships with third parties on which Navan depends; Navan’s ability to utilize AI successfully in its current and future products; disruptions or other business interruptions that affect the availability of Navan’s platform, including cybersecurity incidents; and general global market, political, economic, and business conditions, including those related to global macroeconomic conditions, actual or perceived instability in the banking sector, energy and other supply chain disruptions, a potential recession, inflation, interest rate volatility, and geopolitical uncertainty, including ongoing conflicts around the world. Additional risks and uncertainties that could cause actual outcomes and results to differ materially from those contemplated by the forward-looking statements contained herein are included in the “Risk Factors” and “Management’s Discussion and Analysis of Financial Condition and Results of Operations” sections of Navan’s Annual Report on Form 10-K filed with the Securities and Exchange Commission (SEC) on April 2, 2026, as they may be updated by Navan’s subsequent filings with the SEC, including Navan’s Quarterly Report on Form 10-Q for the fiscal quarter ended April 30, 2026. Except as required by law, Navan undertakes no obligation, and does not intend, to update these forward-looking statements.</w:t>
      </w:r>
    </w:p>
    <w:p>
      <w:pPr>
        <w:pStyle w:val="TextBody"/>
        <w:bidi w:val="0"/>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120" w:after="180"/>
        <w:jc w:val="both"/>
        <w:rPr/>
      </w:pPr>
      <w:r>
        <w:rPr/>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About Navan, Inc.:</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Navan (NASDAQ: NAVN) is the global AI-powered business travel and expense platform that makes travel easy for frequent travelers. From finding flights and hotels, to automating expense reconciliation, with 24/7 support along the way, Navan delivers an intuitive experience travelers love and finance teams rely on. See how Navan customers benefit and learn more at navan.com.</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CONTACTS</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investors@navan.com</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Media Relations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press@navan.com</w:t>
      </w:r>
    </w:p>
    <w:p>
      <w:pPr>
        <w:pStyle w:val="TextBody"/>
        <w:bidi w:val="0"/>
        <w:spacing w:before="120" w:after="180"/>
        <w:jc w:val="both"/>
        <w:rPr/>
      </w:pPr>
      <w:r>
        <w:rPr/>
      </w:r>
    </w:p>
    <w:p>
      <w:pPr>
        <w:pStyle w:val="TextBody"/>
        <w:bidi w:val="0"/>
        <w:spacing w:before="120" w:after="18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 w:after="30"/>
        <w:jc w:val="center"/>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30"/>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30" w:after="3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(in thousands, except share and per share amounts)</w:t>
      </w:r>
    </w:p>
    <w:p>
      <w:pPr>
        <w:pStyle w:val="TextBody"/>
        <w:bidi w:val="0"/>
        <w:spacing w:lineRule="auto" w:line="288" w:before="30" w:after="12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14"/>
        <w:gridCol w:w="2144"/>
        <w:gridCol w:w="2151"/>
        <w:gridCol w:w="243"/>
        <w:gridCol w:w="988"/>
        <w:gridCol w:w="109"/>
        <w:gridCol w:w="109"/>
        <w:gridCol w:w="109"/>
        <w:gridCol w:w="109"/>
        <w:gridCol w:w="222"/>
        <w:gridCol w:w="904"/>
        <w:gridCol w:w="403"/>
      </w:tblGrid>
      <w:tr>
        <w:trPr/>
        <w:tc>
          <w:tcPr>
            <w:tcW w:w="271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0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April 30,</w:t>
            </w:r>
          </w:p>
        </w:tc>
      </w:tr>
      <w:tr>
        <w:trPr/>
        <w:tc>
          <w:tcPr>
            <w:tcW w:w="7009" w:type="dxa"/>
            <w:gridSpan w:val="3"/>
            <w:vMerge w:val="continue"/>
            <w:tcBorders/>
            <w:tcMar>
              <w:top w:w="0" w:type="dxa"/>
              <w:left w:w="0" w:type="dxa"/>
              <w:bottom w:w="0" w:type="dxa"/>
              <w:right w:w="0" w:type="dxa"/>
            </w:tcMar>
            <w:vAlign w:val="center"/>
          </w:tcPr>
          <w:p>
            <w:pPr>
              <w:pStyle w:val="Normal"/>
              <w:bidi w:val="0"/>
              <w:jc w:val="left"/>
              <w:rPr/>
            </w:pPr>
            <w:r>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157,461 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45,668 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111,793 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31,402 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61,880 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34,405 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127,687 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(15,894)</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(16,336)</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6,119 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(56,775)</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(61,257)</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w:t>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loss per share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net loss per share attributable to common stockholders</w:t>
            </w:r>
          </w:p>
        </w:tc>
        <w:tc>
          <w:tcPr>
            <w:tcW w:w="12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250,281,201 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46,145,251 </w:t>
            </w:r>
          </w:p>
        </w:tc>
        <w:tc>
          <w:tcPr>
            <w:tcW w:w="4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 w:after="30"/>
        <w:jc w:val="center"/>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30"/>
        <w:jc w:val="center"/>
        <w:rPr>
          <w:rFonts w:ascii="Arial;sans-serif" w:hAnsi="Arial;sans-serif"/>
          <w:b/>
          <w:color w:val="000000"/>
          <w:sz w:val="20"/>
        </w:rPr>
      </w:pPr>
      <w:r>
        <w:rPr>
          <w:rFonts w:ascii="Arial;sans-serif" w:hAnsi="Arial;sans-serif"/>
          <w:b/>
          <w:color w:val="000000"/>
          <w:sz w:val="20"/>
        </w:rPr>
        <w:t xml:space="preserve">NAVAN, INC. AND SUBSIDIARIES </w:t>
      </w:r>
    </w:p>
    <w:p>
      <w:pPr>
        <w:pStyle w:val="TextBody"/>
        <w:bidi w:val="0"/>
        <w:spacing w:lineRule="auto" w:line="288" w:before="30" w:after="3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(unaudited)</w:t>
      </w:r>
    </w:p>
    <w:tbl>
      <w:tblPr>
        <w:tblW w:w="7380" w:type="dxa"/>
        <w:jc w:val="left"/>
        <w:tblInd w:w="0" w:type="dxa"/>
        <w:tblLayout w:type="fixed"/>
        <w:tblCellMar>
          <w:top w:w="28" w:type="dxa"/>
          <w:left w:w="28" w:type="dxa"/>
          <w:bottom w:w="28" w:type="dxa"/>
          <w:right w:w="28" w:type="dxa"/>
        </w:tblCellMar>
      </w:tblPr>
      <w:tblGrid>
        <w:gridCol w:w="1472"/>
        <w:gridCol w:w="1292"/>
        <w:gridCol w:w="1315"/>
        <w:gridCol w:w="211"/>
        <w:gridCol w:w="1021"/>
        <w:gridCol w:w="109"/>
        <w:gridCol w:w="109"/>
        <w:gridCol w:w="109"/>
        <w:gridCol w:w="109"/>
        <w:gridCol w:w="211"/>
        <w:gridCol w:w="1021"/>
        <w:gridCol w:w="401"/>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April 30, 2026</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583,516 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79,647 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156,994 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215,941 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card receivables,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206,182 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55,241 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1,306,987 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241,309 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1,708,761 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65,939 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320,936 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ABL facility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 credit facility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500,700 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A common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3,226,427 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(2,015,143)</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1,208,061 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1,708,761 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30" w:after="30"/>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30" w:after="30"/>
        <w:jc w:val="center"/>
        <w:rPr>
          <w:rFonts w:ascii="Arial;sans-serif" w:hAnsi="Arial;sans-serif"/>
          <w:b/>
          <w:color w:val="000000"/>
          <w:sz w:val="20"/>
        </w:rPr>
      </w:pPr>
      <w:bookmarkStart w:id="0" w:name="i56fb92337664486a881ce2151ea9a589_111"/>
      <w:bookmarkEnd w:id="0"/>
      <w:r>
        <w:rPr>
          <w:rFonts w:ascii="Arial;sans-serif" w:hAnsi="Arial;sans-serif"/>
          <w:b/>
          <w:color w:val="000000"/>
          <w:sz w:val="20"/>
        </w:rPr>
        <w:t>CONDENSED CONSOLIDATED STATEMENTS OF CASH FLOWS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01"/>
        <w:gridCol w:w="2015"/>
        <w:gridCol w:w="2020"/>
        <w:gridCol w:w="211"/>
        <w:gridCol w:w="826"/>
        <w:gridCol w:w="109"/>
        <w:gridCol w:w="109"/>
        <w:gridCol w:w="109"/>
        <w:gridCol w:w="109"/>
        <w:gridCol w:w="211"/>
        <w:gridCol w:w="826"/>
        <w:gridCol w:w="109"/>
        <w:gridCol w:w="109"/>
        <w:gridCol w:w="109"/>
        <w:gridCol w:w="1032"/>
      </w:tblGrid>
      <w:tr>
        <w:trPr/>
        <w:tc>
          <w:tcPr>
            <w:tcW w:w="2301"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tcPr>
          <w:p>
            <w:pPr>
              <w:pStyle w:val="TableContents"/>
              <w:bidi w:val="0"/>
              <w:spacing w:before="0" w:after="283"/>
              <w:jc w:val="left"/>
              <w:rPr>
                <w:sz w:val="4"/>
                <w:szCs w:val="4"/>
              </w:rPr>
            </w:pPr>
            <w:r>
              <w:rPr>
                <w:sz w:val="4"/>
                <w:szCs w:val="4"/>
              </w:rPr>
            </w:r>
          </w:p>
        </w:tc>
      </w:tr>
      <w:tr>
        <w:trPr/>
        <w:tc>
          <w:tcPr>
            <w:tcW w:w="633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Adjustments to reconcile net loss to net cash provided</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net of amounts capitalized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contract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fair value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expensed related to SAFEs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 and operating lease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90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corporate card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90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option exercises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SAFEs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borrowings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deferred offering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firstLine="90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Gross Profit and Non-GAAP Gross Margin</w:t>
      </w:r>
    </w:p>
    <w:tbl>
      <w:tblPr>
        <w:tblW w:w="7035" w:type="dxa"/>
        <w:jc w:val="left"/>
        <w:tblInd w:w="0" w:type="dxa"/>
        <w:tblLayout w:type="fixed"/>
        <w:tblCellMar>
          <w:top w:w="28" w:type="dxa"/>
          <w:left w:w="28" w:type="dxa"/>
          <w:bottom w:w="28" w:type="dxa"/>
          <w:right w:w="28" w:type="dxa"/>
        </w:tblCellMar>
      </w:tblPr>
      <w:tblGrid>
        <w:gridCol w:w="1512"/>
        <w:gridCol w:w="1182"/>
        <w:gridCol w:w="1190"/>
        <w:gridCol w:w="427"/>
        <w:gridCol w:w="398"/>
        <w:gridCol w:w="398"/>
        <w:gridCol w:w="220"/>
        <w:gridCol w:w="220"/>
        <w:gridCol w:w="220"/>
        <w:gridCol w:w="427"/>
        <w:gridCol w:w="348"/>
        <w:gridCol w:w="493"/>
      </w:tblGrid>
      <w:tr>
        <w:trPr/>
        <w:tc>
          <w:tcPr>
            <w:tcW w:w="151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April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163,055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111,793</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165,044</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112,903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22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r>
    </w:tbl>
    <w:p>
      <w:pPr>
        <w:pStyle w:val="TextBody"/>
        <w:bidi w:val="0"/>
        <w:spacing w:before="12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Income from Operations and Non-GAAP Operating Margin</w:t>
      </w:r>
    </w:p>
    <w:tbl>
      <w:tblPr>
        <w:tblW w:w="7064" w:type="dxa"/>
        <w:jc w:val="left"/>
        <w:tblInd w:w="0" w:type="dxa"/>
        <w:tblLayout w:type="fixed"/>
        <w:tblCellMar>
          <w:top w:w="28" w:type="dxa"/>
          <w:left w:w="28" w:type="dxa"/>
          <w:bottom w:w="28" w:type="dxa"/>
          <w:right w:w="28" w:type="dxa"/>
        </w:tblCellMar>
      </w:tblPr>
      <w:tblGrid>
        <w:gridCol w:w="1408"/>
        <w:gridCol w:w="1236"/>
        <w:gridCol w:w="1241"/>
        <w:gridCol w:w="427"/>
        <w:gridCol w:w="404"/>
        <w:gridCol w:w="406"/>
        <w:gridCol w:w="220"/>
        <w:gridCol w:w="220"/>
        <w:gridCol w:w="220"/>
        <w:gridCol w:w="427"/>
        <w:gridCol w:w="353"/>
        <w:gridCol w:w="502"/>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April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loss from operations</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(18,109)</w:t>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(15,894)</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operating margin</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37,898</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17,260</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executive transition costs</w:t>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23,634</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2,676</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2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120" w:after="18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Net Income (Loss) and Non-GAAP Net Income (Loss) Per Share</w:t>
      </w:r>
    </w:p>
    <w:tbl>
      <w:tblPr>
        <w:tblW w:w="10205" w:type="dxa"/>
        <w:jc w:val="left"/>
        <w:tblInd w:w="0" w:type="dxa"/>
        <w:tblLayout w:type="fixed"/>
        <w:tblCellMar>
          <w:top w:w="28" w:type="dxa"/>
          <w:left w:w="28" w:type="dxa"/>
          <w:bottom w:w="28" w:type="dxa"/>
          <w:right w:w="28" w:type="dxa"/>
        </w:tblCellMar>
      </w:tblPr>
      <w:tblGrid>
        <w:gridCol w:w="2406"/>
        <w:gridCol w:w="2114"/>
        <w:gridCol w:w="2127"/>
        <w:gridCol w:w="343"/>
        <w:gridCol w:w="1085"/>
        <w:gridCol w:w="139"/>
        <w:gridCol w:w="139"/>
        <w:gridCol w:w="139"/>
        <w:gridCol w:w="139"/>
        <w:gridCol w:w="343"/>
        <w:gridCol w:w="1027"/>
        <w:gridCol w:w="204"/>
      </w:tblGrid>
      <w:tr>
        <w:trPr/>
        <w:tc>
          <w:tcPr>
            <w:tcW w:w="240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April 30,</w:t>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share and per share amounts)</w:t>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loss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(61,257)</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debt issuance costs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 debt issuance costs expensed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executive transition costs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provision for income taxes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loss per share attributable to common stockholders, basic and diluted</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GAAP net loss per share attributable to common stockholders, basic and diluted</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250,281,201 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46,145,251 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 per share attributable to common stockholders, basic</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non-GAAP net income (loss) per share attributable to common stockholders, basic</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250,281,201 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46,145,251 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 per share attributable to common stockholders, diluted</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GAAP net loss per share attributable to common stockholders, basic and diluted</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250,281,201 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46,145,251 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Effect of potentially dilutive common stock equivalents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5,275,876 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non-GAAP net income (loss) per share attributable to common stockholders, diluted</w:t>
            </w:r>
          </w:p>
        </w:tc>
        <w:tc>
          <w:tcPr>
            <w:tcW w:w="1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255,557,077 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46,145,251 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Free Cash Flow</w:t>
      </w:r>
    </w:p>
    <w:tbl>
      <w:tblPr>
        <w:tblW w:w="7280" w:type="dxa"/>
        <w:jc w:val="left"/>
        <w:tblInd w:w="0" w:type="dxa"/>
        <w:tblLayout w:type="fixed"/>
        <w:tblCellMar>
          <w:top w:w="28" w:type="dxa"/>
          <w:left w:w="28" w:type="dxa"/>
          <w:bottom w:w="28" w:type="dxa"/>
          <w:right w:w="28" w:type="dxa"/>
        </w:tblCellMar>
      </w:tblPr>
      <w:tblGrid>
        <w:gridCol w:w="1617"/>
        <w:gridCol w:w="1424"/>
        <w:gridCol w:w="1429"/>
        <w:gridCol w:w="212"/>
        <w:gridCol w:w="818"/>
        <w:gridCol w:w="109"/>
        <w:gridCol w:w="109"/>
        <w:gridCol w:w="109"/>
        <w:gridCol w:w="109"/>
        <w:gridCol w:w="212"/>
        <w:gridCol w:w="651"/>
        <w:gridCol w:w="109"/>
        <w:gridCol w:w="109"/>
        <w:gridCol w:w="109"/>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Capitalized software development costs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Purchases of property and equipment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120" w:after="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4044</Words>
  <Characters>23826</Characters>
  <CharactersWithSpaces>27480</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