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17145</wp:posOffset>
            </wp:positionV>
            <wp:extent cx="11912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20320</wp:posOffset>
            </wp:positionV>
            <wp:extent cx="1191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Navan,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21590</wp:posOffset>
            </wp:positionV>
            <wp:extent cx="119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1"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47-3424780</w:t>
      </w:r>
    </w:p>
    <w:p>
      <w:pPr>
        <w:spacing w:after="0" w:line="23" w:lineRule="exact"/>
        <w:rPr>
          <w:sz w:val="24"/>
          <w:szCs w:val="24"/>
          <w:color w:val="auto"/>
        </w:rPr>
      </w:pPr>
    </w:p>
    <w:p>
      <w:pPr>
        <w:sectPr>
          <w:pgSz w:w="11900" w:h="16838" w:orient="portrait"/>
          <w:cols w:equalWidth="0" w:num="2">
            <w:col w:w="7300" w:space="720"/>
            <w:col w:w="3220"/>
          </w:cols>
          <w:pgMar w:left="320" w:top="1440" w:right="3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2">
            <w:col w:w="7160" w:space="720"/>
            <w:col w:w="336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3045 Park Boulevard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California 94306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505-8747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240"/>
          </w:cols>
          <w:pgMar w:left="320" w:top="1440" w:right="339" w:bottom="1440" w:gutter="0" w:footer="0" w:header="0"/>
          <w:type w:val="continuous"/>
        </w:sectPr>
      </w:pP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Navan, Inc. 2025 Equity Incentive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Navan, Inc. 2025 Employee Stock Purchase Plan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Ariel Cohen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Chairperson of the Board of Directors and 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Navan,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3045 Park Boulevard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 Alto, California 94306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505-8747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30480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3" w:lineRule="exact"/>
        <w:rPr>
          <w:sz w:val="24"/>
          <w:szCs w:val="24"/>
          <w:color w:val="auto"/>
        </w:rPr>
      </w:pPr>
    </w:p>
    <w:tbl>
      <w:tblPr>
        <w:tblLayout w:type="fixed"/>
        <w:tblInd w:w="17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49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07"/>
        </w:trPr>
        <w:tc>
          <w:tcPr>
            <w:tcW w:w="29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John T. McKenna</w:t>
            </w:r>
          </w:p>
        </w:tc>
        <w:tc>
          <w:tcPr>
            <w:tcW w:w="1860" w:type="dxa"/>
            <w:vAlign w:val="bottom"/>
          </w:tcPr>
          <w:p>
            <w:pPr>
              <w:spacing w:after="0"/>
              <w:rPr>
                <w:sz w:val="18"/>
                <w:szCs w:val="18"/>
                <w:color w:val="auto"/>
              </w:rPr>
            </w:pPr>
          </w:p>
        </w:tc>
        <w:tc>
          <w:tcPr>
            <w:tcW w:w="308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Howard Baik</w:t>
            </w:r>
          </w:p>
        </w:tc>
      </w:tr>
      <w:tr>
        <w:trPr>
          <w:trHeight w:val="184"/>
        </w:trPr>
        <w:tc>
          <w:tcPr>
            <w:tcW w:w="2960" w:type="dxa"/>
            <w:vAlign w:val="bottom"/>
          </w:tcPr>
          <w:p>
            <w:pPr>
              <w:jc w:val="center"/>
              <w:ind w:right="7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Rachel Proffitt</w:t>
            </w:r>
          </w:p>
        </w:tc>
        <w:tc>
          <w:tcPr>
            <w:tcW w:w="1860" w:type="dxa"/>
            <w:vAlign w:val="bottom"/>
          </w:tcPr>
          <w:p>
            <w:pPr>
              <w:spacing w:after="0"/>
              <w:rPr>
                <w:sz w:val="16"/>
                <w:szCs w:val="16"/>
                <w:color w:val="auto"/>
              </w:rPr>
            </w:pPr>
          </w:p>
        </w:tc>
        <w:tc>
          <w:tcPr>
            <w:tcW w:w="3080" w:type="dxa"/>
            <w:vAlign w:val="bottom"/>
          </w:tcPr>
          <w:p>
            <w:pPr>
              <w:jc w:val="center"/>
              <w:ind w:left="5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General Counsel and Secretary</w:t>
            </w:r>
          </w:p>
        </w:tc>
      </w:tr>
      <w:tr>
        <w:trPr>
          <w:trHeight w:val="176"/>
        </w:trPr>
        <w:tc>
          <w:tcPr>
            <w:tcW w:w="2960" w:type="dxa"/>
            <w:vAlign w:val="bottom"/>
          </w:tcPr>
          <w:p>
            <w:pPr>
              <w:jc w:val="center"/>
              <w:ind w:right="7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Jon C. Avina</w:t>
            </w:r>
          </w:p>
        </w:tc>
        <w:tc>
          <w:tcPr>
            <w:tcW w:w="1860" w:type="dxa"/>
            <w:vAlign w:val="bottom"/>
          </w:tcPr>
          <w:p>
            <w:pPr>
              <w:spacing w:after="0"/>
              <w:rPr>
                <w:sz w:val="15"/>
                <w:szCs w:val="15"/>
                <w:color w:val="auto"/>
              </w:rPr>
            </w:pPr>
          </w:p>
        </w:tc>
        <w:tc>
          <w:tcPr>
            <w:tcW w:w="3080" w:type="dxa"/>
            <w:vAlign w:val="bottom"/>
          </w:tcPr>
          <w:p>
            <w:pPr>
              <w:jc w:val="center"/>
              <w:ind w:left="5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Navan, Inc.</w:t>
            </w:r>
          </w:p>
        </w:tc>
      </w:tr>
      <w:tr>
        <w:trPr>
          <w:trHeight w:val="180"/>
        </w:trPr>
        <w:tc>
          <w:tcPr>
            <w:tcW w:w="2960" w:type="dxa"/>
            <w:vAlign w:val="bottom"/>
          </w:tcPr>
          <w:p>
            <w:pPr>
              <w:jc w:val="center"/>
              <w:ind w:right="7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Milson C. Yu</w:t>
            </w:r>
          </w:p>
        </w:tc>
        <w:tc>
          <w:tcPr>
            <w:tcW w:w="1860" w:type="dxa"/>
            <w:vAlign w:val="bottom"/>
          </w:tcPr>
          <w:p>
            <w:pPr>
              <w:spacing w:after="0"/>
              <w:rPr>
                <w:sz w:val="15"/>
                <w:szCs w:val="15"/>
                <w:color w:val="auto"/>
              </w:rPr>
            </w:pPr>
          </w:p>
        </w:tc>
        <w:tc>
          <w:tcPr>
            <w:tcW w:w="3080" w:type="dxa"/>
            <w:vAlign w:val="bottom"/>
          </w:tcPr>
          <w:p>
            <w:pPr>
              <w:jc w:val="center"/>
              <w:ind w:left="6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3045 Park Boulevard</w:t>
            </w:r>
          </w:p>
        </w:tc>
      </w:tr>
      <w:tr>
        <w:trPr>
          <w:trHeight w:val="184"/>
        </w:trPr>
        <w:tc>
          <w:tcPr>
            <w:tcW w:w="2960" w:type="dxa"/>
            <w:vAlign w:val="bottom"/>
          </w:tcPr>
          <w:p>
            <w:pPr>
              <w:jc w:val="center"/>
              <w:ind w:right="7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Jean Park</w:t>
            </w:r>
          </w:p>
        </w:tc>
        <w:tc>
          <w:tcPr>
            <w:tcW w:w="1860" w:type="dxa"/>
            <w:vAlign w:val="bottom"/>
          </w:tcPr>
          <w:p>
            <w:pPr>
              <w:spacing w:after="0"/>
              <w:rPr>
                <w:sz w:val="16"/>
                <w:szCs w:val="16"/>
                <w:color w:val="auto"/>
              </w:rPr>
            </w:pPr>
          </w:p>
        </w:tc>
        <w:tc>
          <w:tcPr>
            <w:tcW w:w="3080" w:type="dxa"/>
            <w:vAlign w:val="bottom"/>
          </w:tcPr>
          <w:p>
            <w:pPr>
              <w:jc w:val="center"/>
              <w:ind w:left="610"/>
              <w:spacing w:after="0" w:line="184" w:lineRule="exact"/>
              <w:rPr>
                <w:sz w:val="20"/>
                <w:szCs w:val="20"/>
                <w:color w:val="auto"/>
              </w:rPr>
            </w:pPr>
            <w:r>
              <w:rPr>
                <w:rFonts w:ascii="Times New Roman" w:cs="Times New Roman" w:eastAsia="Times New Roman" w:hAnsi="Times New Roman"/>
                <w:sz w:val="18"/>
                <w:szCs w:val="18"/>
                <w:b w:val="1"/>
                <w:bCs w:val="1"/>
                <w:color w:val="auto"/>
              </w:rPr>
              <w:t>Palo Alto, California 94306</w:t>
            </w:r>
          </w:p>
        </w:tc>
      </w:tr>
      <w:tr>
        <w:trPr>
          <w:trHeight w:val="175"/>
        </w:trPr>
        <w:tc>
          <w:tcPr>
            <w:tcW w:w="2960" w:type="dxa"/>
            <w:vAlign w:val="bottom"/>
          </w:tcPr>
          <w:p>
            <w:pPr>
              <w:jc w:val="center"/>
              <w:ind w:right="770"/>
              <w:spacing w:after="0" w:line="176" w:lineRule="exact"/>
              <w:rPr>
                <w:sz w:val="20"/>
                <w:szCs w:val="20"/>
                <w:color w:val="auto"/>
              </w:rPr>
            </w:pPr>
            <w:r>
              <w:rPr>
                <w:rFonts w:ascii="Times New Roman" w:cs="Times New Roman" w:eastAsia="Times New Roman" w:hAnsi="Times New Roman"/>
                <w:sz w:val="18"/>
                <w:szCs w:val="18"/>
                <w:b w:val="1"/>
                <w:bCs w:val="1"/>
                <w:color w:val="auto"/>
              </w:rPr>
              <w:t>Cooley LLP</w:t>
            </w:r>
          </w:p>
        </w:tc>
        <w:tc>
          <w:tcPr>
            <w:tcW w:w="4940" w:type="dxa"/>
            <w:vAlign w:val="bottom"/>
            <w:gridSpan w:val="2"/>
          </w:tcPr>
          <w:p>
            <w:pPr>
              <w:jc w:val="center"/>
              <w:ind w:left="24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(888) 505-8747</w:t>
            </w:r>
          </w:p>
        </w:tc>
      </w:tr>
      <w:tr>
        <w:trPr>
          <w:trHeight w:val="180"/>
        </w:trPr>
        <w:tc>
          <w:tcPr>
            <w:tcW w:w="2960" w:type="dxa"/>
            <w:vAlign w:val="bottom"/>
          </w:tcPr>
          <w:p>
            <w:pPr>
              <w:jc w:val="center"/>
              <w:ind w:right="7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3175 Hanover Street</w:t>
            </w:r>
          </w:p>
        </w:tc>
        <w:tc>
          <w:tcPr>
            <w:tcW w:w="186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84"/>
        </w:trPr>
        <w:tc>
          <w:tcPr>
            <w:tcW w:w="2960" w:type="dxa"/>
            <w:vAlign w:val="bottom"/>
          </w:tcPr>
          <w:p>
            <w:pPr>
              <w:jc w:val="center"/>
              <w:ind w:right="770"/>
              <w:spacing w:after="0" w:line="184" w:lineRule="exact"/>
              <w:rPr>
                <w:sz w:val="20"/>
                <w:szCs w:val="20"/>
                <w:color w:val="auto"/>
              </w:rPr>
            </w:pPr>
            <w:r>
              <w:rPr>
                <w:rFonts w:ascii="Times New Roman" w:cs="Times New Roman" w:eastAsia="Times New Roman" w:hAnsi="Times New Roman"/>
                <w:sz w:val="18"/>
                <w:szCs w:val="18"/>
                <w:b w:val="1"/>
                <w:bCs w:val="1"/>
                <w:color w:val="auto"/>
              </w:rPr>
              <w:t>Palo Alto, California 94304</w:t>
            </w:r>
          </w:p>
        </w:tc>
        <w:tc>
          <w:tcPr>
            <w:tcW w:w="186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238"/>
        </w:trPr>
        <w:tc>
          <w:tcPr>
            <w:tcW w:w="296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(650) 843-5000</w:t>
            </w:r>
          </w:p>
        </w:tc>
        <w:tc>
          <w:tcPr>
            <w:tcW w:w="186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113"/>
        </w:trPr>
        <w:tc>
          <w:tcPr>
            <w:tcW w:w="296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3080" w:type="dxa"/>
            <w:vAlign w:val="bottom"/>
          </w:tcPr>
          <w:p>
            <w:pPr>
              <w:spacing w:after="0"/>
              <w:rPr>
                <w:sz w:val="9"/>
                <w:szCs w:val="9"/>
                <w:color w:val="auto"/>
              </w:rPr>
            </w:pPr>
          </w:p>
        </w:tc>
      </w:tr>
    </w:tbl>
    <w:p>
      <w:pPr>
        <w:spacing w:after="0" w:line="2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p>
      <w:pPr>
        <w:ind w:left="4480"/>
        <w:spacing w:after="0"/>
        <w:tabs>
          <w:tab w:leader="none" w:pos="10760" w:val="left"/>
        </w:tabs>
        <w:rPr>
          <w:sz w:val="20"/>
          <w:szCs w:val="20"/>
          <w:color w:val="auto"/>
        </w:rPr>
      </w:pPr>
      <w:r>
        <w:rPr>
          <w:rFonts w:ascii="Wingdings" w:cs="Wingdings" w:eastAsia="Wingdings" w:hAnsi="Wingdings"/>
          <w:sz w:val="18"/>
          <w:szCs w:val="18"/>
          <w:b w:val="1"/>
          <w:bCs w:val="1"/>
          <w:color w:val="auto"/>
        </w:rPr>
        <w:t>o</w:t>
      </w:r>
      <w:r>
        <w:rPr>
          <w:sz w:val="20"/>
          <w:szCs w:val="20"/>
          <w:color w:val="auto"/>
        </w:rPr>
        <w:tab/>
      </w:r>
      <w:r>
        <w:rPr>
          <w:rFonts w:ascii="Wingdings" w:cs="Wingdings" w:eastAsia="Wingdings" w:hAnsi="Wingdings"/>
          <w:sz w:val="18"/>
          <w:szCs w:val="18"/>
          <w:b w:val="1"/>
          <w:bCs w:val="1"/>
          <w:color w:val="auto"/>
        </w:rPr>
        <w:t>o</w:t>
      </w:r>
    </w:p>
    <w:p>
      <w:pPr>
        <w:ind w:left="20"/>
        <w:spacing w:after="0"/>
        <w:tabs>
          <w:tab w:leader="none" w:pos="50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Times New Roman" w:cs="Times New Roman" w:eastAsia="Times New Roman" w:hAnsi="Times New Roman"/>
          <w:sz w:val="18"/>
          <w:szCs w:val="18"/>
          <w:color w:val="auto"/>
        </w:rPr>
        <w:t>Accelerated filer</w:t>
      </w:r>
    </w:p>
    <w:p>
      <w:pPr>
        <w:spacing w:after="0" w:line="25" w:lineRule="exact"/>
        <w:rPr>
          <w:sz w:val="24"/>
          <w:szCs w:val="24"/>
          <w:color w:val="auto"/>
        </w:rPr>
      </w:pPr>
    </w:p>
    <w:p>
      <w:pPr>
        <w:ind w:left="4480"/>
        <w:spacing w:after="0"/>
        <w:tabs>
          <w:tab w:leader="none" w:pos="10760" w:val="left"/>
        </w:tabs>
        <w:rPr>
          <w:sz w:val="20"/>
          <w:szCs w:val="20"/>
          <w:color w:val="auto"/>
        </w:rPr>
      </w:pPr>
      <w:r>
        <w:rPr>
          <w:rFonts w:ascii="Wingdings" w:cs="Wingdings" w:eastAsia="Wingdings" w:hAnsi="Wingdings"/>
          <w:sz w:val="18"/>
          <w:szCs w:val="18"/>
          <w:b w:val="1"/>
          <w:bCs w:val="1"/>
          <w:color w:val="auto"/>
        </w:rPr>
        <w:t>x</w:t>
      </w:r>
      <w:r>
        <w:rPr>
          <w:sz w:val="20"/>
          <w:szCs w:val="20"/>
          <w:color w:val="auto"/>
        </w:rPr>
        <w:tab/>
      </w:r>
      <w:r>
        <w:rPr>
          <w:rFonts w:ascii="Wingdings" w:cs="Wingdings" w:eastAsia="Wingdings" w:hAnsi="Wingdings"/>
          <w:sz w:val="18"/>
          <w:szCs w:val="18"/>
          <w:b w:val="1"/>
          <w:bCs w:val="1"/>
          <w:color w:val="auto"/>
        </w:rPr>
        <w:t>o</w:t>
      </w:r>
    </w:p>
    <w:p>
      <w:pPr>
        <w:ind w:left="20"/>
        <w:spacing w:after="0"/>
        <w:tabs>
          <w:tab w:leader="none" w:pos="50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Smaller reporting company</w:t>
      </w:r>
    </w:p>
    <w:p>
      <w:pPr>
        <w:spacing w:after="0" w:line="25" w:lineRule="exact"/>
        <w:rPr>
          <w:sz w:val="24"/>
          <w:szCs w:val="24"/>
          <w:color w:val="auto"/>
        </w:rPr>
      </w:pPr>
    </w:p>
    <w:p>
      <w:pPr>
        <w:ind w:left="10780"/>
        <w:spacing w:after="0"/>
        <w:rPr>
          <w:sz w:val="20"/>
          <w:szCs w:val="20"/>
          <w:color w:val="auto"/>
        </w:rPr>
      </w:pPr>
      <w:r>
        <w:rPr>
          <w:rFonts w:ascii="Wingdings" w:cs="Wingdings" w:eastAsia="Wingdings" w:hAnsi="Wingdings"/>
          <w:sz w:val="18"/>
          <w:szCs w:val="18"/>
          <w:b w:val="1"/>
          <w:bCs w:val="1"/>
          <w:color w:val="auto"/>
        </w:rPr>
        <w:t>x</w:t>
      </w:r>
    </w:p>
    <w:p>
      <w:pPr>
        <w:ind w:left="50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3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3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REGISTRATION OF ADDITIONAL SHARES</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General Instruction E of Form S-8, Navan, Inc. (the “Registrant”) is filing this Registration Statement on Form S-8 (the “Registration Statement”) with the Securities and Exchange Commission (the “Commission”) to register (i) 12,458,738 additional shares of its Class A common stock, par value $0.00000625 per share (“Class A common stock”), under the Registrant’s 2025 Equity Incentive Plan (the “2025 Plan”), pursuant to the provisions of the 2025 Plan providing for an automatic increase in the number of shares of Class A common stock reserved and available for issuance under the 2025 Plan on February 1, 2026, and (ii) 2,491,747 additional shares of its Class A common stock under the Registrant’s 2025 Employee Stock Purchase Plan (the “2025 ESPP”), pursuant to the provisions of the 2025 ESPP providing for an automatic increase in the number of shares of Class A common stock reserved and available for issuance under the 2025 ESPP on February 1, 2026. In accordance with the instructional note to Part I of Form S-8 as promulgated by the Commission, the information specified by Part I of Form S-8 has been omitted from this Registration Statement.</w:t>
      </w:r>
    </w:p>
    <w:p>
      <w:pPr>
        <w:spacing w:after="0" w:line="138"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previously registered shares of its Class A common stock for issuance under the 2025 Plan and the 2025 ESPP on a Registration Statement on Form S-8 filed with the Commission on </w:t>
      </w:r>
      <w:hyperlink r:id="rId12">
        <w:r>
          <w:rPr>
            <w:rFonts w:ascii="Times New Roman" w:cs="Times New Roman" w:eastAsia="Times New Roman" w:hAnsi="Times New Roman"/>
            <w:sz w:val="18"/>
            <w:szCs w:val="18"/>
            <w:u w:val="single" w:color="auto"/>
            <w:color w:val="0000FF"/>
          </w:rPr>
          <w:t>October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333-291159) (the “Prior Registration Statement”). Pursuant to General Instruction E to Form S-8, this Registration Statement hereby incorporates by reference the contents of the Prior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40" w:right="37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Certain Documents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by reference into this Registration Statement:</w:t>
      </w:r>
    </w:p>
    <w:p>
      <w:pPr>
        <w:spacing w:after="0" w:line="171" w:lineRule="exact"/>
        <w:rPr>
          <w:sz w:val="20"/>
          <w:szCs w:val="20"/>
          <w:color w:val="auto"/>
        </w:rPr>
      </w:pPr>
    </w:p>
    <w:p>
      <w:pPr>
        <w:ind w:left="660" w:right="280" w:hanging="328"/>
        <w:spacing w:after="0" w:line="282" w:lineRule="auto"/>
        <w:tabs>
          <w:tab w:leader="none" w:pos="65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3">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“Annual Report”) for the fiscal year ended January 31, 2026, filed with the Commission on April 2, 2026.</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14">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April 30, 2026, filed with the Commission on June 11, 2026.</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15">
        <w:r>
          <w:rPr>
            <w:rFonts w:ascii="Times New Roman" w:cs="Times New Roman" w:eastAsia="Times New Roman" w:hAnsi="Times New Roman"/>
            <w:sz w:val="18"/>
            <w:szCs w:val="18"/>
            <w:u w:val="single" w:color="auto"/>
            <w:color w:val="0000FF"/>
          </w:rPr>
          <w:t>February 11,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5.02 only) and </w:t>
      </w:r>
      <w:hyperlink r:id="rId16">
        <w:r>
          <w:rPr>
            <w:rFonts w:ascii="Times New Roman" w:cs="Times New Roman" w:eastAsia="Times New Roman" w:hAnsi="Times New Roman"/>
            <w:sz w:val="18"/>
            <w:szCs w:val="18"/>
            <w:u w:val="single" w:color="auto"/>
            <w:color w:val="0000FF"/>
          </w:rPr>
          <w:t>April 17, 2026</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A common stock which is contained in the Registrant’s Registration Statement on </w:t>
      </w:r>
      <w:hyperlink r:id="rId17">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October 28, 2025, as amended (File No. 001-42922) under the Securities Exchange Act of 1934, as amended (the “Exchange Act”), including any amendment or report filed for the purpose of updating such description, including </w:t>
      </w:r>
      <w:hyperlink r:id="rId18">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w:t>
      </w:r>
    </w:p>
    <w:p>
      <w:pPr>
        <w:spacing w:after="0" w:line="122" w:lineRule="exact"/>
        <w:rPr>
          <w:rFonts w:ascii="Times New Roman" w:cs="Times New Roman" w:eastAsia="Times New Roman" w:hAnsi="Times New Roman"/>
          <w:sz w:val="18"/>
          <w:szCs w:val="18"/>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3"/>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80" w:type="dxa"/>
            <w:vAlign w:val="bottom"/>
            <w:gridSpan w:val="8"/>
          </w:tcPr>
          <w:p>
            <w:pPr>
              <w:ind w:left="7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16"/>
        </w:trPr>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240" w:type="dxa"/>
            <w:vAlign w:val="bottom"/>
            <w:tcBorders>
              <w:top w:val="single" w:sz="8" w:color="auto"/>
            </w:tcBorders>
            <w:gridSpan w:val="12"/>
          </w:tcPr>
          <w:p>
            <w:pPr>
              <w:spacing w:after="0"/>
              <w:rPr>
                <w:rFonts w:ascii="Times New Roman" w:cs="Times New Roman" w:eastAsia="Times New Roman" w:hAnsi="Times New Roman"/>
                <w:sz w:val="16"/>
                <w:szCs w:val="16"/>
                <w:color w:val="0000FF"/>
              </w:rPr>
            </w:pPr>
            <w:hyperlink r:id="rId19">
              <w:r>
                <w:rPr>
                  <w:rFonts w:ascii="Times New Roman" w:cs="Times New Roman" w:eastAsia="Times New Roman" w:hAnsi="Times New Roman"/>
                  <w:sz w:val="16"/>
                  <w:szCs w:val="16"/>
                  <w:color w:val="0000FF"/>
                </w:rPr>
                <w:t>Amended and Restated Certificate of Incorporation of the Registrant, as</w:t>
              </w:r>
            </w:hyperlink>
          </w:p>
        </w:tc>
      </w:tr>
      <w:tr>
        <w:trPr>
          <w:trHeight w:val="142"/>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9"/>
              </w:rPr>
            </w:pPr>
            <w:hyperlink r:id="rId19">
              <w:r>
                <w:rPr>
                  <w:rFonts w:ascii="Times New Roman" w:cs="Times New Roman" w:eastAsia="Times New Roman" w:hAnsi="Times New Roman"/>
                  <w:sz w:val="16"/>
                  <w:szCs w:val="16"/>
                  <w:color w:val="0000FF"/>
                  <w:w w:val="99"/>
                </w:rPr>
                <w:t>currently in effect.</w:t>
              </w:r>
            </w:hyperlink>
          </w:p>
        </w:tc>
        <w:tc>
          <w:tcPr>
            <w:tcW w:w="346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rPr>
            </w:pPr>
            <w:hyperlink r:id="rId20">
              <w:r>
                <w:rPr>
                  <w:rFonts w:ascii="Times New Roman" w:cs="Times New Roman" w:eastAsia="Times New Roman" w:hAnsi="Times New Roman"/>
                  <w:sz w:val="16"/>
                  <w:szCs w:val="16"/>
                  <w:color w:val="0000FF"/>
                </w:rPr>
                <w:t>Amended and Restated Bylaws of Navan, Inc.</w:t>
              </w:r>
            </w:hyperlink>
          </w:p>
        </w:tc>
        <w:tc>
          <w:tcPr>
            <w:tcW w:w="2240" w:type="dxa"/>
            <w:vAlign w:val="bottom"/>
            <w:gridSpan w:val="7"/>
          </w:tcPr>
          <w:p>
            <w:pPr>
              <w:spacing w:after="0"/>
              <w:rPr>
                <w:sz w:val="21"/>
                <w:szCs w:val="21"/>
                <w:color w:val="auto"/>
              </w:rPr>
            </w:pPr>
          </w:p>
        </w:tc>
      </w:t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12"/>
          </w:tcPr>
          <w:p>
            <w:pPr>
              <w:spacing w:after="0"/>
              <w:rPr>
                <w:rFonts w:ascii="Times New Roman" w:cs="Times New Roman" w:eastAsia="Times New Roman" w:hAnsi="Times New Roman"/>
                <w:sz w:val="16"/>
                <w:szCs w:val="16"/>
                <w:color w:val="0000FF"/>
              </w:rPr>
            </w:pPr>
            <w:hyperlink r:id="rId21">
              <w:r>
                <w:rPr>
                  <w:rFonts w:ascii="Times New Roman" w:cs="Times New Roman" w:eastAsia="Times New Roman" w:hAnsi="Times New Roman"/>
                  <w:sz w:val="16"/>
                  <w:szCs w:val="16"/>
                  <w:color w:val="0000FF"/>
                </w:rPr>
                <w:t>Form of Class A Common Stock Certificate of the Registrant.</w:t>
              </w:r>
            </w:hyperlink>
          </w:p>
        </w:tc>
      </w:t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Opinion of Cooley LLP.</w:t>
            </w:r>
          </w:p>
        </w:tc>
        <w:tc>
          <w:tcPr>
            <w:tcW w:w="1240" w:type="dxa"/>
            <w:vAlign w:val="bottom"/>
            <w:gridSpan w:val="5"/>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Consent of Cooley LLP (included in Exhibit 5.1).</w:t>
            </w:r>
          </w:p>
        </w:tc>
        <w:tc>
          <w:tcPr>
            <w:tcW w:w="2020" w:type="dxa"/>
            <w:vAlign w:val="bottom"/>
            <w:gridSpan w:val="6"/>
          </w:tcPr>
          <w:p>
            <w:pPr>
              <w:spacing w:after="0"/>
              <w:rPr>
                <w:sz w:val="21"/>
                <w:szCs w:val="21"/>
                <w:color w:val="auto"/>
              </w:rPr>
            </w:pPr>
          </w:p>
        </w:tc>
      </w:t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Consent of PricewaterhouseCoopers LLP, independent registered public</w:t>
            </w:r>
          </w:p>
        </w:tc>
      </w:tr>
      <w:tr>
        <w:trPr>
          <w:trHeight w:val="142"/>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accounting firm.</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Power of Attorney (included on the signature page of this Form S-8).</w:t>
            </w:r>
          </w:p>
        </w:tc>
        <w:tc>
          <w:tcPr>
            <w:tcW w:w="760" w:type="dxa"/>
            <w:vAlign w:val="bottom"/>
            <w:gridSpan w:val="4"/>
          </w:tcPr>
          <w:p>
            <w:pPr>
              <w:spacing w:after="0"/>
              <w:rPr>
                <w:sz w:val="21"/>
                <w:szCs w:val="21"/>
                <w:color w:val="auto"/>
              </w:rPr>
            </w:pPr>
          </w:p>
        </w:tc>
      </w:t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12"/>
          </w:tcPr>
          <w:p>
            <w:pPr>
              <w:spacing w:after="0"/>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Navan, Inc. 2025 Equity Incentive Plan and related form agreements.</w:t>
              </w:r>
            </w:hyperlink>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380" w:type="dxa"/>
            <w:vAlign w:val="bottom"/>
            <w:gridSpan w:val="6"/>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gridSpan w:val="12"/>
          </w:tcPr>
          <w:p>
            <w:pPr>
              <w:spacing w:after="0"/>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Navan, Inc. 2025 Employee Stock Purchase Plan and related form agreements.</w:t>
              </w:r>
            </w:hyperlink>
          </w:p>
        </w:tc>
      </w:t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8"/>
              </w:rPr>
              <w:t>Filing Fee Table.</w:t>
            </w:r>
          </w:p>
        </w:tc>
        <w:tc>
          <w:tcPr>
            <w:tcW w:w="4000" w:type="dxa"/>
            <w:vAlign w:val="bottom"/>
            <w:tcBorders>
              <w:top w:val="single" w:sz="8" w:color="0000FF"/>
            </w:tcBorders>
            <w:gridSpan w:val="9"/>
          </w:tcPr>
          <w:p>
            <w:pPr>
              <w:spacing w:after="0"/>
              <w:rPr>
                <w:sz w:val="21"/>
                <w:szCs w:val="21"/>
                <w:color w:val="auto"/>
              </w:rPr>
            </w:pPr>
          </w:p>
        </w:tc>
        <w:tc>
          <w:tcPr>
            <w:tcW w:w="140" w:type="dxa"/>
            <w:vAlign w:val="bottom"/>
          </w:tcPr>
          <w:p>
            <w:pPr>
              <w:spacing w:after="0"/>
              <w:rPr>
                <w:sz w:val="21"/>
                <w:szCs w:val="2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Incorporated by Reference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20" w:type="dxa"/>
            <w:vAlign w:val="bottom"/>
            <w:tcBorders>
              <w:top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Schedule</w:t>
            </w:r>
          </w:p>
        </w:tc>
        <w:tc>
          <w:tcPr>
            <w:tcW w:w="1320" w:type="dxa"/>
            <w:vAlign w:val="bottom"/>
            <w:tcBorders>
              <w:top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rPr>
              <w:t>File</w:t>
            </w: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8"/>
              </w:rPr>
              <w:t>Filing</w:t>
            </w:r>
          </w:p>
        </w:tc>
      </w:tr>
      <w:tr>
        <w:trPr>
          <w:trHeight w:val="183"/>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14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1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w:t>
            </w:r>
          </w:p>
        </w:tc>
        <w:tc>
          <w:tcPr>
            <w:tcW w:w="1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332"/>
        </w:trPr>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001-42922</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3, 2025</w:t>
            </w:r>
          </w:p>
        </w:tc>
      </w:tr>
      <w:tr>
        <w:trPr>
          <w:trHeight w:val="351"/>
        </w:trPr>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333-290396</w:t>
            </w: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10, 2025</w:t>
            </w:r>
          </w:p>
        </w:tc>
      </w:tr>
      <w:tr>
        <w:trPr>
          <w:trHeight w:val="270"/>
        </w:trPr>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333-290396</w:t>
            </w:r>
          </w:p>
        </w:tc>
        <w:tc>
          <w:tcPr>
            <w:tcW w:w="1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4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10,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10-Q</w:t>
            </w: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001-42922</w:t>
            </w: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10.4</w:t>
            </w:r>
          </w:p>
        </w:tc>
        <w:tc>
          <w:tcPr>
            <w:tcW w:w="16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December 15, 2025</w:t>
            </w:r>
          </w:p>
        </w:tc>
      </w:tr>
      <w:tr>
        <w:trPr>
          <w:trHeight w:val="270"/>
        </w:trPr>
        <w:tc>
          <w:tcPr>
            <w:tcW w:w="66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9"/>
              </w:rPr>
              <w:t>S-1/A</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333-290396</w:t>
            </w: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10.4</w:t>
            </w:r>
          </w:p>
        </w:tc>
        <w:tc>
          <w:tcPr>
            <w:tcW w:w="16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October 10, 2025</w:t>
            </w:r>
          </w:p>
        </w:tc>
      </w:tr>
    </w:tbl>
    <w:p>
      <w:pPr>
        <w:spacing w:after="0" w:line="886" w:lineRule="exact"/>
        <w:rPr>
          <w:sz w:val="20"/>
          <w:szCs w:val="20"/>
          <w:color w:val="auto"/>
        </w:rPr>
      </w:pPr>
    </w:p>
    <w:p>
      <w:pPr>
        <w:sectPr>
          <w:pgSz w:w="11900" w:h="16838" w:orient="portrait"/>
          <w:cols w:equalWidth="0" w:num="2">
            <w:col w:w="6120" w:space="100"/>
            <w:col w:w="502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Palo Alto, State of California, on June 11, 2026.</w:t>
      </w:r>
    </w:p>
    <w:p>
      <w:pPr>
        <w:spacing w:after="0" w:line="15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NAVAN, INC.</w:t>
      </w:r>
    </w:p>
    <w:p>
      <w:pPr>
        <w:spacing w:after="0" w:line="243" w:lineRule="exact"/>
        <w:rPr>
          <w:sz w:val="20"/>
          <w:szCs w:val="20"/>
          <w:color w:val="auto"/>
        </w:rPr>
      </w:pPr>
    </w:p>
    <w:tbl>
      <w:tblPr>
        <w:tblLayout w:type="fixed"/>
        <w:tblInd w:w="630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Ariel Cohen</w:t>
            </w:r>
          </w:p>
        </w:tc>
      </w:tr>
      <w:tr>
        <w:trPr>
          <w:trHeight w:val="218"/>
        </w:trPr>
        <w:tc>
          <w:tcPr>
            <w:tcW w:w="62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Ariel Cohen</w:t>
            </w:r>
          </w:p>
        </w:tc>
      </w:tr>
      <w:tr>
        <w:trPr>
          <w:trHeight w:val="234"/>
        </w:trPr>
        <w:tc>
          <w:tcPr>
            <w:tcW w:w="62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Ariel Cohen, Aurélien Nolf, and Howard Baik,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3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42" w:lineRule="exact"/>
        <w:rPr>
          <w:sz w:val="20"/>
          <w:szCs w:val="20"/>
          <w:color w:val="auto"/>
        </w:rPr>
      </w:pPr>
    </w:p>
    <w:p>
      <w:pPr>
        <w:ind w:left="1220"/>
        <w:spacing w:after="0"/>
        <w:tabs>
          <w:tab w:leader="none" w:pos="6020" w:val="left"/>
          <w:tab w:leader="none" w:pos="101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37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 Ariel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Ariel Cohen</w:t>
      </w:r>
    </w:p>
    <w:p>
      <w:pPr>
        <w:spacing w:after="0" w:line="1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 Aurélien Nolf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Aurélien Nolf</w:t>
      </w:r>
    </w:p>
    <w:p>
      <w:pPr>
        <w:spacing w:after="0" w:line="1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 Ben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Ben Horowitz</w:t>
      </w:r>
    </w:p>
    <w:p>
      <w:pPr>
        <w:spacing w:after="0" w:line="1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/s/ Arif Janmohamed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28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4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Arif Janmohamed</w:t>
      </w:r>
    </w:p>
    <w:p>
      <w:pPr>
        <w:spacing w:after="0" w:line="1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 Michael Kourey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Michael Kourey</w:t>
      </w:r>
    </w:p>
    <w:p>
      <w:pPr>
        <w:spacing w:after="0" w:line="1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 Clara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Clara Liang</w:t>
      </w:r>
    </w:p>
    <w:p>
      <w:pPr>
        <w:spacing w:after="0" w:line="1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 Sandesh Patnam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Sandesh Patnam</w:t>
      </w:r>
    </w:p>
    <w:p>
      <w:pPr>
        <w:spacing w:after="0" w:line="1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 Ilan Twig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Ilan Twig</w:t>
      </w:r>
    </w:p>
    <w:p>
      <w:pPr>
        <w:spacing w:after="0" w:line="1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 Shai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Shai Weiss</w:t>
      </w:r>
    </w:p>
    <w:p>
      <w:pPr>
        <w:spacing w:after="0" w:line="10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 Anré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Anré Williams</w:t>
      </w:r>
    </w:p>
    <w:p>
      <w:pPr>
        <w:spacing w:after="0" w:line="1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 Oren Zeev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28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Oren Zeev</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Chairperson of the Board of Directors and</w:t>
            </w:r>
          </w:p>
        </w:tc>
        <w:tc>
          <w:tcPr>
            <w:tcW w:w="198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r>
        <w:trPr>
          <w:trHeight w:val="182"/>
        </w:trPr>
        <w:tc>
          <w:tcPr>
            <w:tcW w:w="4260" w:type="dxa"/>
            <w:vAlign w:val="bottom"/>
          </w:tcPr>
          <w:p>
            <w:pPr>
              <w:jc w:val="center"/>
              <w:ind w:right="890"/>
              <w:spacing w:after="0" w:line="182"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8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r>
        <w:trPr>
          <w:trHeight w:val="148"/>
        </w:trPr>
        <w:tc>
          <w:tcPr>
            <w:tcW w:w="4260" w:type="dxa"/>
            <w:vAlign w:val="bottom"/>
            <w:vMerge w:val="restart"/>
          </w:tcPr>
          <w:p>
            <w:pPr>
              <w:jc w:val="center"/>
              <w:ind w:right="89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2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0"/>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r>
        <w:trPr>
          <w:trHeight w:val="608"/>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r>
        <w:trPr>
          <w:trHeight w:val="608"/>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r>
        <w:trPr>
          <w:trHeight w:val="608"/>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r>
        <w:trPr>
          <w:trHeight w:val="608"/>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r>
        <w:trPr>
          <w:trHeight w:val="608"/>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Chief Technology Officer and Director</w:t>
            </w: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r>
        <w:trPr>
          <w:trHeight w:val="608"/>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r>
        <w:trPr>
          <w:trHeight w:val="567"/>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r>
        <w:trPr>
          <w:trHeight w:val="607"/>
        </w:trPr>
        <w:tc>
          <w:tcPr>
            <w:tcW w:w="426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7"/>
              </w:rPr>
              <w:t>June 11, 2026</w:t>
            </w:r>
          </w:p>
        </w:tc>
        <w:tc>
          <w:tcPr>
            <w:tcW w:w="0" w:type="dxa"/>
            <w:vAlign w:val="bottom"/>
          </w:tcPr>
          <w:p>
            <w:pPr>
              <w:spacing w:after="0"/>
              <w:rPr>
                <w:sz w:val="1"/>
                <w:szCs w:val="1"/>
                <w:color w:val="auto"/>
              </w:rPr>
            </w:pPr>
          </w:p>
        </w:tc>
      </w:tr>
    </w:tbl>
    <w:p>
      <w:pPr>
        <w:sectPr>
          <w:pgSz w:w="11900" w:h="16838" w:orient="portrait"/>
          <w:cols w:equalWidth="0" w:num="2">
            <w:col w:w="3820" w:space="720"/>
            <w:col w:w="6680"/>
          </w:cols>
          <w:pgMar w:left="320" w:top="1440" w:right="359" w:bottom="1440" w:gutter="0" w:footer="0" w:header="0"/>
          <w:type w:val="continuous"/>
        </w:sectPr>
      </w:pPr>
    </w:p>
    <w:bookmarkStart w:id="6" w:name="page7"/>
    <w:bookmarkEnd w:id="6"/>
    <w:p>
      <w:pPr>
        <w:ind w:left="10260"/>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Navan,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40575" cy="1663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40575" cy="166306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00" w:type="dxa"/>
            <w:vAlign w:val="bottom"/>
            <w:tcBorders>
              <w:top w:val="single" w:sz="8" w:color="auto"/>
              <w:left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Proposed Maximum</w:t>
            </w:r>
          </w:p>
        </w:tc>
        <w:tc>
          <w:tcPr>
            <w:tcW w:w="17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shd w:val="clear" w:color="auto" w:fill="CCEEFF"/>
          </w:tcPr>
          <w:p>
            <w:pPr>
              <w:spacing w:after="0"/>
              <w:rPr>
                <w:sz w:val="17"/>
                <w:szCs w:val="17"/>
                <w:color w:val="auto"/>
              </w:rPr>
            </w:pPr>
          </w:p>
        </w:tc>
        <w:tc>
          <w:tcPr>
            <w:tcW w:w="2840" w:type="dxa"/>
            <w:vAlign w:val="bottom"/>
            <w:gridSpan w:val="2"/>
            <w:vMerge w:val="restart"/>
            <w:shd w:val="clear" w:color="auto" w:fill="CCEEFF"/>
          </w:tcPr>
          <w:p>
            <w:pPr>
              <w:jc w:val="center"/>
              <w:ind w:right="1859"/>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26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Fee Calculation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 Price Per</w:t>
            </w:r>
          </w:p>
        </w:tc>
        <w:tc>
          <w:tcPr>
            <w:tcW w:w="178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Aggregate</w:t>
            </w:r>
          </w:p>
        </w:tc>
        <w:tc>
          <w:tcPr>
            <w:tcW w:w="112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164"/>
        </w:trPr>
        <w:tc>
          <w:tcPr>
            <w:tcW w:w="200" w:type="dxa"/>
            <w:vAlign w:val="bottom"/>
            <w:tcBorders>
              <w:left w:val="single" w:sz="8" w:color="auto"/>
            </w:tcBorders>
            <w:shd w:val="clear" w:color="auto" w:fill="CCEEFF"/>
          </w:tcPr>
          <w:p>
            <w:pPr>
              <w:spacing w:after="0"/>
              <w:rPr>
                <w:sz w:val="14"/>
                <w:szCs w:val="14"/>
                <w:color w:val="auto"/>
              </w:rPr>
            </w:pPr>
          </w:p>
        </w:tc>
        <w:tc>
          <w:tcPr>
            <w:tcW w:w="2840" w:type="dxa"/>
            <w:vAlign w:val="bottom"/>
            <w:gridSpan w:val="2"/>
            <w:vMerge w:val="continue"/>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10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rPr>
              <w:t>Registered</w:t>
            </w:r>
            <w:r>
              <w:rPr>
                <w:rFonts w:ascii="Times New Roman" w:cs="Times New Roman" w:eastAsia="Times New Roman" w:hAnsi="Times New Roman"/>
                <w:sz w:val="19"/>
                <w:szCs w:val="19"/>
                <w:b w:val="1"/>
                <w:bCs w:val="1"/>
                <w:color w:val="auto"/>
                <w:vertAlign w:val="superscript"/>
              </w:rPr>
              <w:t>(1)</w:t>
            </w:r>
          </w:p>
        </w:tc>
        <w:tc>
          <w:tcPr>
            <w:tcW w:w="164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Unit</w:t>
            </w:r>
          </w:p>
        </w:tc>
        <w:tc>
          <w:tcPr>
            <w:tcW w:w="1780" w:type="dxa"/>
            <w:vAlign w:val="bottom"/>
            <w:vMerge w:val="continue"/>
            <w:shd w:val="clear" w:color="auto" w:fill="CCEEFF"/>
          </w:tcPr>
          <w:p>
            <w:pPr>
              <w:spacing w:after="0"/>
              <w:rPr>
                <w:sz w:val="14"/>
                <w:szCs w:val="14"/>
                <w:color w:val="auto"/>
              </w:rPr>
            </w:pPr>
          </w:p>
        </w:tc>
        <w:tc>
          <w:tcPr>
            <w:tcW w:w="1120" w:type="dxa"/>
            <w:vAlign w:val="bottom"/>
            <w:shd w:val="clear" w:color="auto" w:fill="CCEEFF"/>
          </w:tcPr>
          <w:p>
            <w:pPr>
              <w:jc w:val="center"/>
              <w:ind w:left="39"/>
              <w:spacing w:after="0" w:line="165" w:lineRule="exact"/>
              <w:rPr>
                <w:sz w:val="20"/>
                <w:szCs w:val="20"/>
                <w:color w:val="auto"/>
              </w:rPr>
            </w:pPr>
            <w:r>
              <w:rPr>
                <w:rFonts w:ascii="Times New Roman" w:cs="Times New Roman" w:eastAsia="Times New Roman" w:hAnsi="Times New Roman"/>
                <w:sz w:val="16"/>
                <w:szCs w:val="16"/>
                <w:b w:val="1"/>
                <w:bCs w:val="1"/>
                <w:color w:val="auto"/>
                <w:w w:val="99"/>
              </w:rPr>
              <w:t>Fee Rate</w:t>
            </w:r>
          </w:p>
        </w:tc>
        <w:tc>
          <w:tcPr>
            <w:tcW w:w="1340" w:type="dxa"/>
            <w:vAlign w:val="bottom"/>
            <w:tcBorders>
              <w:right w:val="single" w:sz="8" w:color="auto"/>
            </w:tcBorders>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Registration Fee</w:t>
            </w:r>
          </w:p>
        </w:tc>
        <w:tc>
          <w:tcPr>
            <w:tcW w:w="0" w:type="dxa"/>
            <w:vAlign w:val="bottom"/>
          </w:tcPr>
          <w:p>
            <w:pPr>
              <w:spacing w:after="0"/>
              <w:rPr>
                <w:sz w:val="1"/>
                <w:szCs w:val="1"/>
                <w:color w:val="auto"/>
              </w:rPr>
            </w:pPr>
          </w:p>
        </w:tc>
      </w:tr>
      <w:tr>
        <w:trPr>
          <w:trHeight w:val="162"/>
        </w:trPr>
        <w:tc>
          <w:tcPr>
            <w:tcW w:w="200" w:type="dxa"/>
            <w:vAlign w:val="bottom"/>
            <w:tcBorders>
              <w:left w:val="single" w:sz="8" w:color="auto"/>
            </w:tcBorders>
            <w:shd w:val="clear" w:color="auto" w:fill="CCEEFF"/>
          </w:tcPr>
          <w:p>
            <w:pPr>
              <w:spacing w:after="0"/>
              <w:rPr>
                <w:sz w:val="14"/>
                <w:szCs w:val="14"/>
                <w:color w:val="auto"/>
              </w:rPr>
            </w:pPr>
          </w:p>
        </w:tc>
        <w:tc>
          <w:tcPr>
            <w:tcW w:w="660" w:type="dxa"/>
            <w:vAlign w:val="bottom"/>
            <w:shd w:val="clear" w:color="auto" w:fill="CCEEFF"/>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w w:val="97"/>
              </w:rPr>
              <w:t>Type</w:t>
            </w:r>
          </w:p>
        </w:tc>
        <w:tc>
          <w:tcPr>
            <w:tcW w:w="2180" w:type="dxa"/>
            <w:vAlign w:val="bottom"/>
            <w:shd w:val="clear" w:color="auto" w:fill="CCEEFF"/>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rPr>
              <w:t>Security Class Title</w:t>
            </w:r>
          </w:p>
        </w:tc>
        <w:tc>
          <w:tcPr>
            <w:tcW w:w="1260" w:type="dxa"/>
            <w:vAlign w:val="bottom"/>
            <w:shd w:val="clear" w:color="auto" w:fill="CCEEFF"/>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Rule</w:t>
            </w:r>
          </w:p>
        </w:tc>
        <w:tc>
          <w:tcPr>
            <w:tcW w:w="10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780" w:type="dxa"/>
            <w:vAlign w:val="bottom"/>
            <w:shd w:val="clear" w:color="auto" w:fill="CCEEFF"/>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Offering Price</w:t>
            </w:r>
          </w:p>
        </w:tc>
        <w:tc>
          <w:tcPr>
            <w:tcW w:w="1120" w:type="dxa"/>
            <w:vAlign w:val="bottom"/>
            <w:shd w:val="clear" w:color="auto" w:fill="CCEEFF"/>
          </w:tcPr>
          <w:p>
            <w:pPr>
              <w:spacing w:after="0"/>
              <w:rPr>
                <w:sz w:val="14"/>
                <w:szCs w:val="14"/>
                <w:color w:val="auto"/>
              </w:rPr>
            </w:pPr>
          </w:p>
        </w:tc>
        <w:tc>
          <w:tcPr>
            <w:tcW w:w="134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180" w:type="dxa"/>
            <w:vAlign w:val="bottom"/>
            <w:shd w:val="clear" w:color="auto" w:fill="DBDBDB"/>
          </w:tcPr>
          <w:p>
            <w:pPr>
              <w:jc w:val="center"/>
              <w:ind w:left="79"/>
              <w:spacing w:after="0"/>
              <w:rPr>
                <w:sz w:val="20"/>
                <w:szCs w:val="20"/>
                <w:color w:val="auto"/>
              </w:rPr>
            </w:pPr>
            <w:r>
              <w:rPr>
                <w:rFonts w:ascii="Times New Roman" w:cs="Times New Roman" w:eastAsia="Times New Roman" w:hAnsi="Times New Roman"/>
                <w:sz w:val="16"/>
                <w:szCs w:val="16"/>
                <w:color w:val="auto"/>
              </w:rPr>
              <w:t>Class A Common Stock, par</w:t>
            </w:r>
          </w:p>
        </w:tc>
        <w:tc>
          <w:tcPr>
            <w:tcW w:w="1260" w:type="dxa"/>
            <w:vAlign w:val="bottom"/>
            <w:shd w:val="clear" w:color="auto" w:fill="DBDBDB"/>
          </w:tcPr>
          <w:p>
            <w:pPr>
              <w:jc w:val="center"/>
              <w:spacing w:after="0" w:line="189" w:lineRule="exact"/>
              <w:rPr>
                <w:sz w:val="20"/>
                <w:szCs w:val="20"/>
                <w:color w:val="auto"/>
              </w:rPr>
            </w:pPr>
            <w:r>
              <w:rPr>
                <w:rFonts w:ascii="Times New Roman" w:cs="Times New Roman" w:eastAsia="Times New Roman" w:hAnsi="Times New Roman"/>
                <w:sz w:val="16"/>
                <w:szCs w:val="16"/>
                <w:color w:val="auto"/>
                <w:w w:val="94"/>
              </w:rPr>
              <w:t>Other</w:t>
            </w:r>
            <w:r>
              <w:rPr>
                <w:rFonts w:ascii="Times New Roman" w:cs="Times New Roman" w:eastAsia="Times New Roman" w:hAnsi="Times New Roman"/>
                <w:sz w:val="21"/>
                <w:szCs w:val="21"/>
                <w:color w:val="auto"/>
                <w:w w:val="94"/>
                <w:vertAlign w:val="superscript"/>
              </w:rPr>
              <w:t>(2)</w:t>
            </w:r>
          </w:p>
        </w:tc>
        <w:tc>
          <w:tcPr>
            <w:tcW w:w="1080" w:type="dxa"/>
            <w:vAlign w:val="bottom"/>
            <w:shd w:val="clear" w:color="auto" w:fill="DBDBDB"/>
          </w:tcPr>
          <w:p>
            <w:pPr>
              <w:jc w:val="center"/>
              <w:ind w:right="1"/>
              <w:spacing w:after="0" w:line="189" w:lineRule="exact"/>
              <w:rPr>
                <w:sz w:val="20"/>
                <w:szCs w:val="20"/>
                <w:color w:val="auto"/>
              </w:rPr>
            </w:pPr>
            <w:r>
              <w:rPr>
                <w:rFonts w:ascii="Times New Roman" w:cs="Times New Roman" w:eastAsia="Times New Roman" w:hAnsi="Times New Roman"/>
                <w:sz w:val="16"/>
                <w:szCs w:val="16"/>
                <w:color w:val="auto"/>
              </w:rPr>
              <w:t>12,458,738</w:t>
            </w:r>
            <w:r>
              <w:rPr>
                <w:rFonts w:ascii="Times New Roman" w:cs="Times New Roman" w:eastAsia="Times New Roman" w:hAnsi="Times New Roman"/>
                <w:sz w:val="21"/>
                <w:szCs w:val="21"/>
                <w:color w:val="auto"/>
                <w:vertAlign w:val="superscript"/>
              </w:rPr>
              <w:t>(4)</w:t>
            </w:r>
          </w:p>
        </w:tc>
        <w:tc>
          <w:tcPr>
            <w:tcW w:w="1640" w:type="dxa"/>
            <w:vAlign w:val="bottom"/>
            <w:shd w:val="clear" w:color="auto" w:fill="DBDBDB"/>
          </w:tcPr>
          <w:p>
            <w:pPr>
              <w:jc w:val="center"/>
              <w:spacing w:after="0" w:line="189" w:lineRule="exact"/>
              <w:rPr>
                <w:sz w:val="20"/>
                <w:szCs w:val="20"/>
                <w:color w:val="auto"/>
              </w:rPr>
            </w:pPr>
            <w:r>
              <w:rPr>
                <w:rFonts w:ascii="Times New Roman" w:cs="Times New Roman" w:eastAsia="Times New Roman" w:hAnsi="Times New Roman"/>
                <w:sz w:val="16"/>
                <w:szCs w:val="16"/>
                <w:color w:val="auto"/>
                <w:w w:val="92"/>
              </w:rPr>
              <w:t>$20.87</w:t>
            </w:r>
            <w:r>
              <w:rPr>
                <w:rFonts w:ascii="Times New Roman" w:cs="Times New Roman" w:eastAsia="Times New Roman" w:hAnsi="Times New Roman"/>
                <w:sz w:val="21"/>
                <w:szCs w:val="21"/>
                <w:color w:val="auto"/>
                <w:w w:val="92"/>
                <w:vertAlign w:val="superscript"/>
              </w:rPr>
              <w:t>(2)</w:t>
            </w:r>
          </w:p>
        </w:tc>
        <w:tc>
          <w:tcPr>
            <w:tcW w:w="1780" w:type="dxa"/>
            <w:vAlign w:val="bottom"/>
            <w:shd w:val="clear" w:color="auto" w:fill="DBDBDB"/>
          </w:tcPr>
          <w:p>
            <w:pPr>
              <w:jc w:val="center"/>
              <w:ind w:right="19"/>
              <w:spacing w:after="0"/>
              <w:rPr>
                <w:sz w:val="20"/>
                <w:szCs w:val="20"/>
                <w:color w:val="auto"/>
              </w:rPr>
            </w:pPr>
            <w:r>
              <w:rPr>
                <w:rFonts w:ascii="Times New Roman" w:cs="Times New Roman" w:eastAsia="Times New Roman" w:hAnsi="Times New Roman"/>
                <w:sz w:val="16"/>
                <w:szCs w:val="16"/>
                <w:color w:val="auto"/>
                <w:w w:val="99"/>
              </w:rPr>
              <w:t>$260,013,862.06</w:t>
            </w:r>
          </w:p>
        </w:tc>
        <w:tc>
          <w:tcPr>
            <w:tcW w:w="11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0.00013810</w:t>
            </w:r>
          </w:p>
        </w:tc>
        <w:tc>
          <w:tcPr>
            <w:tcW w:w="1340" w:type="dxa"/>
            <w:vAlign w:val="bottom"/>
            <w:tcBorders>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rPr>
              <w:t>$35,907.92</w:t>
            </w: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2180" w:type="dxa"/>
            <w:vAlign w:val="bottom"/>
            <w:shd w:val="clear" w:color="auto" w:fill="DBDBDB"/>
          </w:tcPr>
          <w:p>
            <w:pPr>
              <w:jc w:val="center"/>
              <w:ind w:left="99"/>
              <w:spacing w:after="0"/>
              <w:rPr>
                <w:sz w:val="20"/>
                <w:szCs w:val="20"/>
                <w:color w:val="auto"/>
              </w:rPr>
            </w:pPr>
            <w:r>
              <w:rPr>
                <w:rFonts w:ascii="Times New Roman" w:cs="Times New Roman" w:eastAsia="Times New Roman" w:hAnsi="Times New Roman"/>
                <w:sz w:val="16"/>
                <w:szCs w:val="16"/>
                <w:color w:val="auto"/>
              </w:rPr>
              <w:t>value $0.00000625 per share</w:t>
            </w:r>
          </w:p>
        </w:tc>
        <w:tc>
          <w:tcPr>
            <w:tcW w:w="1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64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340" w:type="dxa"/>
            <w:vAlign w:val="bottom"/>
            <w:tcBorders>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 w:type="dxa"/>
            <w:vAlign w:val="bottom"/>
            <w:tcBorders>
              <w:lef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180" w:type="dxa"/>
            <w:vAlign w:val="bottom"/>
            <w:shd w:val="clear" w:color="auto" w:fill="DBDBDB"/>
          </w:tcPr>
          <w:p>
            <w:pPr>
              <w:jc w:val="center"/>
              <w:ind w:left="79"/>
              <w:spacing w:after="0"/>
              <w:rPr>
                <w:sz w:val="20"/>
                <w:szCs w:val="20"/>
                <w:color w:val="auto"/>
              </w:rPr>
            </w:pPr>
            <w:r>
              <w:rPr>
                <w:rFonts w:ascii="Times New Roman" w:cs="Times New Roman" w:eastAsia="Times New Roman" w:hAnsi="Times New Roman"/>
                <w:sz w:val="16"/>
                <w:szCs w:val="16"/>
                <w:color w:val="auto"/>
              </w:rPr>
              <w:t>Class A Common Stock, par</w:t>
            </w:r>
          </w:p>
        </w:tc>
        <w:tc>
          <w:tcPr>
            <w:tcW w:w="1260" w:type="dxa"/>
            <w:vAlign w:val="bottom"/>
            <w:shd w:val="clear" w:color="auto" w:fill="DBDBDB"/>
          </w:tcPr>
          <w:p>
            <w:pPr>
              <w:jc w:val="center"/>
              <w:spacing w:after="0" w:line="189" w:lineRule="exact"/>
              <w:rPr>
                <w:sz w:val="20"/>
                <w:szCs w:val="20"/>
                <w:color w:val="auto"/>
              </w:rPr>
            </w:pPr>
            <w:r>
              <w:rPr>
                <w:rFonts w:ascii="Times New Roman" w:cs="Times New Roman" w:eastAsia="Times New Roman" w:hAnsi="Times New Roman"/>
                <w:sz w:val="16"/>
                <w:szCs w:val="16"/>
                <w:color w:val="auto"/>
                <w:w w:val="94"/>
              </w:rPr>
              <w:t>Other</w:t>
            </w:r>
            <w:r>
              <w:rPr>
                <w:rFonts w:ascii="Times New Roman" w:cs="Times New Roman" w:eastAsia="Times New Roman" w:hAnsi="Times New Roman"/>
                <w:sz w:val="21"/>
                <w:szCs w:val="21"/>
                <w:color w:val="auto"/>
                <w:w w:val="94"/>
                <w:vertAlign w:val="superscript"/>
              </w:rPr>
              <w:t>(3)</w:t>
            </w:r>
          </w:p>
        </w:tc>
        <w:tc>
          <w:tcPr>
            <w:tcW w:w="1080" w:type="dxa"/>
            <w:vAlign w:val="bottom"/>
            <w:shd w:val="clear" w:color="auto" w:fill="DBDBDB"/>
          </w:tcPr>
          <w:p>
            <w:pPr>
              <w:jc w:val="center"/>
              <w:ind w:right="41"/>
              <w:spacing w:after="0" w:line="189" w:lineRule="exact"/>
              <w:rPr>
                <w:sz w:val="20"/>
                <w:szCs w:val="20"/>
                <w:color w:val="auto"/>
              </w:rPr>
            </w:pPr>
            <w:r>
              <w:rPr>
                <w:rFonts w:ascii="Times New Roman" w:cs="Times New Roman" w:eastAsia="Times New Roman" w:hAnsi="Times New Roman"/>
                <w:sz w:val="16"/>
                <w:szCs w:val="16"/>
                <w:color w:val="auto"/>
              </w:rPr>
              <w:t>2,491,747</w:t>
            </w:r>
            <w:r>
              <w:rPr>
                <w:rFonts w:ascii="Times New Roman" w:cs="Times New Roman" w:eastAsia="Times New Roman" w:hAnsi="Times New Roman"/>
                <w:sz w:val="21"/>
                <w:szCs w:val="21"/>
                <w:color w:val="auto"/>
                <w:vertAlign w:val="superscript"/>
              </w:rPr>
              <w:t>(5)</w:t>
            </w:r>
          </w:p>
        </w:tc>
        <w:tc>
          <w:tcPr>
            <w:tcW w:w="1640" w:type="dxa"/>
            <w:vAlign w:val="bottom"/>
            <w:shd w:val="clear" w:color="auto" w:fill="DBDBDB"/>
          </w:tcPr>
          <w:p>
            <w:pPr>
              <w:jc w:val="center"/>
              <w:spacing w:after="0" w:line="189" w:lineRule="exact"/>
              <w:rPr>
                <w:sz w:val="20"/>
                <w:szCs w:val="20"/>
                <w:color w:val="auto"/>
              </w:rPr>
            </w:pPr>
            <w:r>
              <w:rPr>
                <w:rFonts w:ascii="Times New Roman" w:cs="Times New Roman" w:eastAsia="Times New Roman" w:hAnsi="Times New Roman"/>
                <w:sz w:val="16"/>
                <w:szCs w:val="16"/>
                <w:color w:val="auto"/>
                <w:w w:val="92"/>
              </w:rPr>
              <w:t>$17.74</w:t>
            </w:r>
            <w:r>
              <w:rPr>
                <w:rFonts w:ascii="Times New Roman" w:cs="Times New Roman" w:eastAsia="Times New Roman" w:hAnsi="Times New Roman"/>
                <w:sz w:val="21"/>
                <w:szCs w:val="21"/>
                <w:color w:val="auto"/>
                <w:w w:val="92"/>
                <w:vertAlign w:val="superscript"/>
              </w:rPr>
              <w:t>(3)</w:t>
            </w:r>
          </w:p>
        </w:tc>
        <w:tc>
          <w:tcPr>
            <w:tcW w:w="1780" w:type="dxa"/>
            <w:vAlign w:val="bottom"/>
            <w:shd w:val="clear" w:color="auto" w:fill="DBDBDB"/>
          </w:tcPr>
          <w:p>
            <w:pPr>
              <w:jc w:val="center"/>
              <w:ind w:right="19"/>
              <w:spacing w:after="0"/>
              <w:rPr>
                <w:sz w:val="20"/>
                <w:szCs w:val="20"/>
                <w:color w:val="auto"/>
              </w:rPr>
            </w:pPr>
            <w:r>
              <w:rPr>
                <w:rFonts w:ascii="Times New Roman" w:cs="Times New Roman" w:eastAsia="Times New Roman" w:hAnsi="Times New Roman"/>
                <w:sz w:val="16"/>
                <w:szCs w:val="16"/>
                <w:color w:val="auto"/>
                <w:w w:val="99"/>
              </w:rPr>
              <w:t>$44,203,591.78</w:t>
            </w:r>
          </w:p>
        </w:tc>
        <w:tc>
          <w:tcPr>
            <w:tcW w:w="11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0.00013810</w:t>
            </w:r>
          </w:p>
        </w:tc>
        <w:tc>
          <w:tcPr>
            <w:tcW w:w="1340" w:type="dxa"/>
            <w:vAlign w:val="bottom"/>
            <w:tcBorders>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rPr>
              <w:t>$6,104.52</w:t>
            </w:r>
          </w:p>
        </w:tc>
        <w:tc>
          <w:tcPr>
            <w:tcW w:w="0" w:type="dxa"/>
            <w:vAlign w:val="bottom"/>
          </w:tcPr>
          <w:p>
            <w:pPr>
              <w:spacing w:after="0"/>
              <w:rPr>
                <w:sz w:val="1"/>
                <w:szCs w:val="1"/>
                <w:color w:val="auto"/>
              </w:rPr>
            </w:pPr>
          </w:p>
        </w:tc>
      </w:tr>
      <w:tr>
        <w:trPr>
          <w:trHeight w:val="203"/>
        </w:trPr>
        <w:tc>
          <w:tcPr>
            <w:tcW w:w="200" w:type="dxa"/>
            <w:vAlign w:val="bottom"/>
            <w:tcBorders>
              <w:left w:val="single" w:sz="8" w:color="auto"/>
            </w:tcBorders>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2180" w:type="dxa"/>
            <w:vAlign w:val="bottom"/>
            <w:shd w:val="clear" w:color="auto" w:fill="DBDBDB"/>
          </w:tcPr>
          <w:p>
            <w:pPr>
              <w:jc w:val="center"/>
              <w:ind w:left="99"/>
              <w:spacing w:after="0"/>
              <w:rPr>
                <w:sz w:val="20"/>
                <w:szCs w:val="20"/>
                <w:color w:val="auto"/>
              </w:rPr>
            </w:pPr>
            <w:r>
              <w:rPr>
                <w:rFonts w:ascii="Times New Roman" w:cs="Times New Roman" w:eastAsia="Times New Roman" w:hAnsi="Times New Roman"/>
                <w:sz w:val="16"/>
                <w:szCs w:val="16"/>
                <w:color w:val="auto"/>
              </w:rPr>
              <w:t>value $0.00000625 per share</w:t>
            </w:r>
          </w:p>
        </w:tc>
        <w:tc>
          <w:tcPr>
            <w:tcW w:w="126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64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340" w:type="dxa"/>
            <w:vAlign w:val="bottom"/>
            <w:tcBorders>
              <w:right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21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$304,217,453.84</w:t>
            </w:r>
          </w:p>
        </w:tc>
        <w:tc>
          <w:tcPr>
            <w:tcW w:w="1120" w:type="dxa"/>
            <w:vAlign w:val="bottom"/>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$42,012.44</w:t>
            </w:r>
          </w:p>
        </w:tc>
        <w:tc>
          <w:tcPr>
            <w:tcW w:w="0" w:type="dxa"/>
            <w:vAlign w:val="bottom"/>
          </w:tcPr>
          <w:p>
            <w:pPr>
              <w:spacing w:after="0"/>
              <w:rPr>
                <w:sz w:val="1"/>
                <w:szCs w:val="1"/>
                <w:color w:val="auto"/>
              </w:rPr>
            </w:pPr>
          </w:p>
        </w:tc>
      </w:tr>
      <w:tr>
        <w:trPr>
          <w:trHeight w:val="270"/>
        </w:trPr>
        <w:tc>
          <w:tcPr>
            <w:tcW w:w="200" w:type="dxa"/>
            <w:vAlign w:val="bottom"/>
            <w:tcBorders>
              <w:lef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21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70"/>
        </w:trPr>
        <w:tc>
          <w:tcPr>
            <w:tcW w:w="200" w:type="dxa"/>
            <w:vAlign w:val="bottom"/>
            <w:tcBorders>
              <w:lef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21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Total Fee Offsets</w:t>
            </w: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tcBorders>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70"/>
        </w:trPr>
        <w:tc>
          <w:tcPr>
            <w:tcW w:w="200" w:type="dxa"/>
            <w:vAlign w:val="bottom"/>
            <w:tcBorders>
              <w:lef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21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$42,012.44</w:t>
            </w:r>
          </w:p>
        </w:tc>
        <w:tc>
          <w:tcPr>
            <w:tcW w:w="0" w:type="dxa"/>
            <w:vAlign w:val="bottom"/>
          </w:tcPr>
          <w:p>
            <w:pPr>
              <w:spacing w:after="0"/>
              <w:rPr>
                <w:sz w:val="1"/>
                <w:szCs w:val="1"/>
                <w:color w:val="auto"/>
              </w:rPr>
            </w:pPr>
          </w:p>
        </w:tc>
      </w:tr>
      <w:tr>
        <w:trPr>
          <w:trHeight w:val="33"/>
        </w:trPr>
        <w:tc>
          <w:tcPr>
            <w:tcW w:w="20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96" w:lineRule="exact"/>
        <w:rPr>
          <w:sz w:val="20"/>
          <w:szCs w:val="20"/>
          <w:color w:val="auto"/>
        </w:rPr>
      </w:pPr>
    </w:p>
    <w:p>
      <w:pPr>
        <w:jc w:val="both"/>
        <w:ind w:left="340" w:right="20" w:hanging="332"/>
        <w:spacing w:after="0" w:line="259" w:lineRule="auto"/>
        <w:tabs>
          <w:tab w:leader="none" w:pos="3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Navan,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that become issuable under the Registrant’s 2025 Equity Incentive Plan (the “</w:t>
      </w:r>
      <w:r>
        <w:rPr>
          <w:rFonts w:ascii="Times New Roman" w:cs="Times New Roman" w:eastAsia="Times New Roman" w:hAnsi="Times New Roman"/>
          <w:sz w:val="18"/>
          <w:szCs w:val="18"/>
          <w:b w:val="1"/>
          <w:bCs w:val="1"/>
          <w:i w:val="1"/>
          <w:iCs w:val="1"/>
          <w:color w:val="auto"/>
        </w:rPr>
        <w:t>2025 Plan</w:t>
      </w:r>
      <w:r>
        <w:rPr>
          <w:rFonts w:ascii="Times New Roman" w:cs="Times New Roman" w:eastAsia="Times New Roman" w:hAnsi="Times New Roman"/>
          <w:sz w:val="18"/>
          <w:szCs w:val="18"/>
          <w:color w:val="auto"/>
        </w:rPr>
        <w:t>”) and the Registrant’s 2025 Employee Stock Purchase Plan (the “</w:t>
      </w:r>
      <w:r>
        <w:rPr>
          <w:rFonts w:ascii="Times New Roman" w:cs="Times New Roman" w:eastAsia="Times New Roman" w:hAnsi="Times New Roman"/>
          <w:sz w:val="18"/>
          <w:szCs w:val="18"/>
          <w:b w:val="1"/>
          <w:bCs w:val="1"/>
          <w:i w:val="1"/>
          <w:iCs w:val="1"/>
          <w:color w:val="auto"/>
        </w:rPr>
        <w:t>2025 ESPP</w:t>
      </w:r>
      <w:r>
        <w:rPr>
          <w:rFonts w:ascii="Times New Roman" w:cs="Times New Roman" w:eastAsia="Times New Roman" w:hAnsi="Times New Roman"/>
          <w:sz w:val="18"/>
          <w:szCs w:val="18"/>
          <w:color w:val="auto"/>
        </w:rPr>
        <w:t>”) by reason of any stock dividend, stock split, recapitalization, or other similar transaction effected that results in an increase to the number of outstanding shares of the Registrant’s Common Stock.</w:t>
      </w:r>
    </w:p>
    <w:p>
      <w:pPr>
        <w:spacing w:after="0" w:line="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under the Securities Act solely for the purpose of calculating the registration fee on the basis of the average of the high and low prices of the Registrant’s Common Stock as reported on the Nasdaq Global Select Market on June 10, 2026.</w:t>
      </w:r>
    </w:p>
    <w:p>
      <w:pPr>
        <w:spacing w:after="0" w:line="26"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under the Securities Act solely for the purpose of calculating the registration fee on the basis of the average of the high and low prices of the Registrant’s Common Stock as reported on the Nasdaq Global Select Market on June 10, 2026 multiplied by 85%, which is the percentage of the price per share applicable to purchases under the 2025 ESPP.</w:t>
      </w:r>
    </w:p>
    <w:p>
      <w:pPr>
        <w:spacing w:after="0" w:line="5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automatic increase to the number of shares of the Registrant’s Common Stock available for issuance under the 2025 Plan effective February 1, 2026, as provided for under the 2025 Plan.</w:t>
      </w:r>
    </w:p>
    <w:p>
      <w:pPr>
        <w:spacing w:after="0" w:line="40"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automatic increase to the number of shares of the Registrant’s Common Stock available for issuance under the 2025 ESPP effective February 1, 2026, as provided for under the 2025 ESPP.</w:t>
      </w:r>
    </w:p>
    <w:p>
      <w:pPr>
        <w:sectPr>
          <w:pgSz w:w="11900" w:h="16838" w:orient="portrait"/>
          <w:cols w:equalWidth="0" w:num="1">
            <w:col w:w="11260"/>
          </w:cols>
          <w:pgMar w:left="320" w:top="356" w:right="31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05890"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405890" cy="462915"/>
                    </a:xfrm>
                    <a:prstGeom prst="rect">
                      <a:avLst/>
                    </a:prstGeom>
                    <a:noFill/>
                  </pic:spPr>
                </pic:pic>
              </a:graphicData>
            </a:graphic>
          </wp:anchor>
        </w:drawing>
        <w:t>John T. McKenna</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+1 650 843 5059</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jmckenna@cooley.com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June 11, 2026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Navan,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3045 Park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94306</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acted as counsel to Navan,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the offering by the Company of up to 14,950,485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its Class A Common Stock, par value $0.00000625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consisting of (a) 12,458,738 shares of Common Stock issuable pursuant to the Company’s 2025 Equity Incentive Plan (the “</w:t>
      </w:r>
      <w:r>
        <w:rPr>
          <w:rFonts w:ascii="Arial" w:cs="Arial" w:eastAsia="Arial" w:hAnsi="Arial"/>
          <w:sz w:val="18"/>
          <w:szCs w:val="18"/>
          <w:b w:val="1"/>
          <w:bCs w:val="1"/>
          <w:i w:val="1"/>
          <w:iCs w:val="1"/>
          <w:color w:val="auto"/>
        </w:rPr>
        <w:t>2025 Plan</w:t>
      </w:r>
      <w:r>
        <w:rPr>
          <w:rFonts w:ascii="Arial" w:cs="Arial" w:eastAsia="Arial" w:hAnsi="Arial"/>
          <w:sz w:val="18"/>
          <w:szCs w:val="18"/>
          <w:color w:val="auto"/>
        </w:rPr>
        <w:t>”), and (b) 2,491,747 shares of Common Stock issuable pursuant to the Company’s 2025 Employee Stock Purchase Plan (together with the 2025 Plan,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Cooley LLP 3175 Hanover Street Palo Alto, CA 94304-1130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1241"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05890"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05890" cy="462915"/>
                    </a:xfrm>
                    <a:prstGeom prst="rect">
                      <a:avLst/>
                    </a:prstGeom>
                    <a:noFill/>
                  </pic:spPr>
                </pic:pic>
              </a:graphicData>
            </a:graphic>
          </wp:anchor>
        </w:drawing>
        <w:t>Navan,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June 11, 2026</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/s/John T.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17780</wp:posOffset>
            </wp:positionV>
            <wp:extent cx="1671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John T. McKenna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Cooley LLP 3175 Hanover Street Palo Alto, CA 94304-1130</w:t>
      </w:r>
    </w:p>
    <w:p>
      <w:pPr>
        <w:spacing w:after="0" w:line="26" w:lineRule="exact"/>
        <w:rPr>
          <w:sz w:val="20"/>
          <w:szCs w:val="20"/>
          <w:color w:val="auto"/>
        </w:rPr>
      </w:pPr>
    </w:p>
    <w:p>
      <w:pPr>
        <w:ind w:left="4300"/>
        <w:spacing w:after="0"/>
        <w:rPr>
          <w:sz w:val="20"/>
          <w:szCs w:val="20"/>
          <w:color w:val="auto"/>
        </w:rPr>
      </w:pPr>
      <w:r>
        <w:rPr>
          <w:rFonts w:ascii="Arial" w:cs="Arial" w:eastAsia="Arial" w:hAnsi="Arial"/>
          <w:sz w:val="13"/>
          <w:szCs w:val="13"/>
          <w:color w:val="auto"/>
        </w:rPr>
        <w:t>t: (650) 843-5000 f: (650) 849-7400 cooley.com</w:t>
      </w:r>
    </w:p>
    <w:p>
      <w:pPr>
        <w:sectPr>
          <w:pgSz w:w="11900" w:h="16838" w:orient="portrait"/>
          <w:cols w:equalWidth="0" w:num="1">
            <w:col w:w="11240"/>
          </w:cols>
          <w:pgMar w:left="320" w:top="1241"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9"/>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314" w:lineRule="auto"/>
        <w:rPr>
          <w:sz w:val="20"/>
          <w:szCs w:val="20"/>
          <w:color w:val="auto"/>
        </w:rPr>
      </w:pPr>
      <w:r>
        <w:rPr>
          <w:rFonts w:ascii="Georgia" w:cs="Georgia" w:eastAsia="Georgia" w:hAnsi="Georgia"/>
          <w:sz w:val="17"/>
          <w:szCs w:val="17"/>
          <w:color w:val="auto"/>
        </w:rPr>
        <w:t>We hereby consent to the incorporation by reference in this Registration Statement on Form S-8 of Navan, Inc. of our report dated April 2, 2026 relating to the financial statements, which appears in Navan, Inc.'s Annual Report on Form 10-K for the year ended January 31, 2026.</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/s/PricewaterhouseCoopers LLP</w:t>
      </w:r>
    </w:p>
    <w:p>
      <w:pPr>
        <w:spacing w:after="0" w:line="38"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38" w:lineRule="exact"/>
        <w:rPr>
          <w:sz w:val="20"/>
          <w:szCs w:val="20"/>
          <w:color w:val="auto"/>
        </w:rPr>
      </w:pPr>
    </w:p>
    <w:p>
      <w:pPr>
        <w:spacing w:after="0"/>
        <w:rPr>
          <w:sz w:val="20"/>
          <w:szCs w:val="20"/>
          <w:color w:val="auto"/>
        </w:rPr>
      </w:pPr>
      <w:r>
        <w:rPr>
          <w:rFonts w:ascii="Georgia" w:cs="Georgia" w:eastAsia="Georgia" w:hAnsi="Georgia"/>
          <w:sz w:val="18"/>
          <w:szCs w:val="18"/>
          <w:color w:val="auto"/>
        </w:rPr>
        <w:t>June 11, 2026</w:t>
      </w: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jpeg"/><Relationship Id="rId38" Type="http://schemas.openxmlformats.org/officeDocument/2006/relationships/image" Target="media/image19.jpeg"/><Relationship Id="rId39" Type="http://schemas.openxmlformats.org/officeDocument/2006/relationships/image" Target="media/image20.png"/><Relationship Id="rId12" Type="http://schemas.openxmlformats.org/officeDocument/2006/relationships/hyperlink" Target="https://www.sec.gov/Archives/edgar/data/1639723/000162828025047336/navaninc-formsx8.htm" TargetMode="External"/><Relationship Id="rId13" Type="http://schemas.openxmlformats.org/officeDocument/2006/relationships/hyperlink" Target="https://www.sec.gov/ix?doc=/Archives/edgar/data/0001639723/000162828026023250/navn-20260131.htm" TargetMode="External"/><Relationship Id="rId14" Type="http://schemas.openxmlformats.org/officeDocument/2006/relationships/hyperlink" Target="https://www.sec.gov/ix?doc=/Archives/edgar/data/1639723/000162828026042552/navn-20260430.htm" TargetMode="External"/><Relationship Id="rId15" Type="http://schemas.openxmlformats.org/officeDocument/2006/relationships/hyperlink" Target="https://www.sec.gov/ix?doc=/Archives/edgar/data/0001639723/000162828026007327/navn-20260211.htm" TargetMode="External"/><Relationship Id="rId16" Type="http://schemas.openxmlformats.org/officeDocument/2006/relationships/hyperlink" Target="https://www.sec.gov/ix?doc=/Archives/edgar/data/0001639723/000162828026025732/navn-20260413.htm" TargetMode="External"/><Relationship Id="rId17" Type="http://schemas.openxmlformats.org/officeDocument/2006/relationships/hyperlink" Target="https://www.sec.gov/Archives/edgar/data/1639723/000162828025047029/navan-8xaamended.htm" TargetMode="External"/><Relationship Id="rId18" Type="http://schemas.openxmlformats.org/officeDocument/2006/relationships/hyperlink" Target="https://www.sec.gov/Archives/edgar/data/1639723/000162828026023250/navaninc-ex43descriptionof.htm" TargetMode="External"/><Relationship Id="rId19" Type="http://schemas.openxmlformats.org/officeDocument/2006/relationships/hyperlink" Target="https://www.sec.gov/Archives/edgar/data/1639723/000162828025042130/exhibit31-sx1.htm" TargetMode="External"/><Relationship Id="rId20" Type="http://schemas.openxmlformats.org/officeDocument/2006/relationships/hyperlink" Target="https://www.sec.gov/Archives/edgar/data/1639723/000162828025044812/exhibit34-sx1a.htm" TargetMode="External"/><Relationship Id="rId21" Type="http://schemas.openxmlformats.org/officeDocument/2006/relationships/hyperlink" Target="https://www.sec.gov/Archives/edgar/data/1639723/000162828025044812/exhibit41-sx1a.htm" TargetMode="External"/><Relationship Id="rId22" Type="http://schemas.openxmlformats.org/officeDocument/2006/relationships/hyperlink" Target="https://www.sec.gov/Archives/edgar/data/1639723/000163972325000017/exhibits104-navanx2025equi.htm" TargetMode="External"/><Relationship Id="rId23" Type="http://schemas.openxmlformats.org/officeDocument/2006/relationships/hyperlink" Target="https://www.sec.gov/Archives/edgar/data/1639723/000162828025044812/exhibit104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2026-06-11T16:18:05Z</dcterms:created>
  <dcterms:modified xsi:type="dcterms:W3CDTF">2026-06-11T16:18:05Z</dcterms:modified>
</cp:coreProperties>
</file>