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126365</wp:posOffset>
            </wp:positionV>
            <wp:extent cx="1911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212725</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31" w:lineRule="exact"/>
        <w:rPr>
          <w:sz w:val="24"/>
          <w:szCs w:val="24"/>
          <w:color w:val="auto"/>
        </w:rPr>
      </w:pPr>
    </w:p>
    <w:p>
      <w:pPr>
        <w:ind w:left="4400" w:right="3100" w:hanging="4169"/>
        <w:spacing w:after="0" w:line="281" w:lineRule="auto"/>
        <w:tabs>
          <w:tab w:leader="none" w:pos="77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 For the quarterly period ended April 30, 2026</w:t>
      </w:r>
    </w:p>
    <w:p>
      <w:pPr>
        <w:spacing w:after="0" w:line="1" w:lineRule="exact"/>
        <w:rPr>
          <w:sz w:val="24"/>
          <w:szCs w:val="24"/>
          <w:color w:val="auto"/>
        </w:rPr>
      </w:pPr>
    </w:p>
    <w:p>
      <w:pPr>
        <w:ind w:left="5820"/>
        <w:spacing w:after="0"/>
        <w:rPr>
          <w:sz w:val="20"/>
          <w:szCs w:val="20"/>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140" w:right="3240" w:hanging="3909"/>
        <w:spacing w:after="0" w:line="281" w:lineRule="auto"/>
        <w:tabs>
          <w:tab w:leader="none" w:pos="624"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ind w:left="468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Commission File Number: 001-42922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203835</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397"/>
        </w:trPr>
        <w:tc>
          <w:tcPr>
            <w:tcW w:w="4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6"/>
          </w:tcPr>
          <w:p>
            <w:pPr>
              <w:jc w:val="center"/>
              <w:ind w:right="620"/>
              <w:spacing w:after="0"/>
              <w:rPr>
                <w:sz w:val="20"/>
                <w:szCs w:val="20"/>
                <w:color w:val="auto"/>
              </w:rPr>
            </w:pPr>
            <w:r>
              <w:rPr>
                <w:rFonts w:ascii="Arial" w:cs="Arial" w:eastAsia="Arial" w:hAnsi="Arial"/>
                <w:sz w:val="29"/>
                <w:szCs w:val="29"/>
                <w:b w:val="1"/>
                <w:bCs w:val="1"/>
                <w:color w:val="auto"/>
                <w:w w:val="97"/>
              </w:rPr>
              <w:t>NAVAN, INC.</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
        </w:trPr>
        <w:tc>
          <w:tcPr>
            <w:tcW w:w="4120" w:type="dxa"/>
            <w:vAlign w:val="bottom"/>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16"/>
        </w:trPr>
        <w:tc>
          <w:tcPr>
            <w:tcW w:w="11240" w:type="dxa"/>
            <w:vAlign w:val="bottom"/>
            <w:gridSpan w:val="10"/>
          </w:tcPr>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379"/>
        </w:trPr>
        <w:tc>
          <w:tcPr>
            <w:tcW w:w="4720" w:type="dxa"/>
            <w:vAlign w:val="bottom"/>
            <w:tcBorders>
              <w:bottom w:val="single" w:sz="8" w:color="auto"/>
            </w:tcBorders>
            <w:gridSpan w:val="2"/>
          </w:tcPr>
          <w:p>
            <w:pPr>
              <w:jc w:val="center"/>
              <w:ind w:left="786"/>
              <w:spacing w:after="0"/>
              <w:rPr>
                <w:sz w:val="20"/>
                <w:szCs w:val="20"/>
                <w:color w:val="auto"/>
              </w:rPr>
            </w:pPr>
            <w:r>
              <w:rPr>
                <w:rFonts w:ascii="Arial" w:cs="Arial" w:eastAsia="Arial" w:hAnsi="Arial"/>
                <w:sz w:val="14"/>
                <w:szCs w:val="14"/>
                <w:b w:val="1"/>
                <w:bCs w:val="1"/>
                <w:color w:val="auto"/>
              </w:rPr>
              <w:t>Delaware</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2328"/>
              <w:spacing w:after="0"/>
              <w:rPr>
                <w:sz w:val="20"/>
                <w:szCs w:val="20"/>
                <w:color w:val="auto"/>
              </w:rPr>
            </w:pPr>
            <w:r>
              <w:rPr>
                <w:rFonts w:ascii="Arial" w:cs="Arial" w:eastAsia="Arial" w:hAnsi="Arial"/>
                <w:sz w:val="14"/>
                <w:szCs w:val="14"/>
                <w:b w:val="1"/>
                <w:bCs w:val="1"/>
                <w:color w:val="auto"/>
              </w:rPr>
              <w:t>47-3424780</w:t>
            </w:r>
          </w:p>
        </w:tc>
        <w:tc>
          <w:tcPr>
            <w:tcW w:w="20" w:type="dxa"/>
            <w:vAlign w:val="bottom"/>
            <w:tcBorders>
              <w:bottom w:val="single" w:sz="8" w:color="auto"/>
            </w:tcBorders>
          </w:tcPr>
          <w:p>
            <w:pPr>
              <w:spacing w:after="0"/>
              <w:rPr>
                <w:sz w:val="24"/>
                <w:szCs w:val="24"/>
                <w:color w:val="auto"/>
              </w:rPr>
            </w:pPr>
          </w:p>
        </w:tc>
      </w:tr>
      <w:tr>
        <w:trPr>
          <w:trHeight w:val="189"/>
        </w:trPr>
        <w:tc>
          <w:tcPr>
            <w:tcW w:w="4720" w:type="dxa"/>
            <w:vAlign w:val="bottom"/>
            <w:gridSpan w:val="2"/>
          </w:tcPr>
          <w:p>
            <w:pPr>
              <w:jc w:val="center"/>
              <w:ind w:left="786"/>
              <w:spacing w:after="0"/>
              <w:rPr>
                <w:sz w:val="20"/>
                <w:szCs w:val="20"/>
                <w:color w:val="auto"/>
              </w:rPr>
            </w:pPr>
            <w:r>
              <w:rPr>
                <w:rFonts w:ascii="Arial" w:cs="Arial" w:eastAsia="Arial" w:hAnsi="Arial"/>
                <w:sz w:val="14"/>
                <w:szCs w:val="14"/>
                <w:color w:val="auto"/>
              </w:rPr>
              <w:t>(State or other jurisdiction of incorporation or organization)</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00" w:type="dxa"/>
            <w:vAlign w:val="bottom"/>
            <w:gridSpan w:val="2"/>
          </w:tcPr>
          <w:p>
            <w:pPr>
              <w:jc w:val="center"/>
              <w:ind w:right="1480"/>
              <w:spacing w:after="0"/>
              <w:rPr>
                <w:sz w:val="20"/>
                <w:szCs w:val="20"/>
                <w:color w:val="auto"/>
              </w:rPr>
            </w:pPr>
            <w:r>
              <w:rPr>
                <w:rFonts w:ascii="Arial" w:cs="Arial" w:eastAsia="Arial" w:hAnsi="Arial"/>
                <w:sz w:val="14"/>
                <w:szCs w:val="14"/>
                <w:color w:val="auto"/>
              </w:rPr>
              <w:t>(I.R.S. Employer Identification Number)</w:t>
            </w:r>
          </w:p>
        </w:tc>
      </w:tr>
      <w:tr>
        <w:trPr>
          <w:trHeight w:val="480"/>
        </w:trPr>
        <w:tc>
          <w:tcPr>
            <w:tcW w:w="4720" w:type="dxa"/>
            <w:vAlign w:val="bottom"/>
            <w:tcBorders>
              <w:bottom w:val="single" w:sz="8" w:color="auto"/>
            </w:tcBorders>
            <w:gridSpan w:val="2"/>
          </w:tcPr>
          <w:p>
            <w:pPr>
              <w:jc w:val="center"/>
              <w:ind w:left="786"/>
              <w:spacing w:after="0"/>
              <w:rPr>
                <w:sz w:val="20"/>
                <w:szCs w:val="20"/>
                <w:color w:val="auto"/>
              </w:rPr>
            </w:pPr>
            <w:r>
              <w:rPr>
                <w:rFonts w:ascii="Arial" w:cs="Arial" w:eastAsia="Arial" w:hAnsi="Arial"/>
                <w:sz w:val="14"/>
                <w:szCs w:val="14"/>
                <w:b w:val="1"/>
                <w:bCs w:val="1"/>
                <w:color w:val="auto"/>
              </w:rPr>
              <w:t>3045 Park Boulevard, Palo Alto, California</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2508"/>
              <w:spacing w:after="0"/>
              <w:rPr>
                <w:sz w:val="20"/>
                <w:szCs w:val="20"/>
                <w:color w:val="auto"/>
              </w:rPr>
            </w:pPr>
            <w:r>
              <w:rPr>
                <w:rFonts w:ascii="Arial" w:cs="Arial" w:eastAsia="Arial" w:hAnsi="Arial"/>
                <w:sz w:val="14"/>
                <w:szCs w:val="14"/>
                <w:b w:val="1"/>
                <w:bCs w:val="1"/>
                <w:color w:val="auto"/>
              </w:rPr>
              <w:t>94306</w:t>
            </w:r>
          </w:p>
        </w:tc>
        <w:tc>
          <w:tcPr>
            <w:tcW w:w="20" w:type="dxa"/>
            <w:vAlign w:val="bottom"/>
            <w:tcBorders>
              <w:bottom w:val="single" w:sz="8" w:color="auto"/>
            </w:tcBorders>
          </w:tcPr>
          <w:p>
            <w:pPr>
              <w:spacing w:after="0"/>
              <w:rPr>
                <w:sz w:val="24"/>
                <w:szCs w:val="24"/>
                <w:color w:val="auto"/>
              </w:rPr>
            </w:pPr>
          </w:p>
        </w:tc>
      </w:tr>
      <w:tr>
        <w:trPr>
          <w:trHeight w:val="189"/>
        </w:trPr>
        <w:tc>
          <w:tcPr>
            <w:tcW w:w="4720" w:type="dxa"/>
            <w:vAlign w:val="bottom"/>
            <w:gridSpan w:val="2"/>
          </w:tcPr>
          <w:p>
            <w:pPr>
              <w:jc w:val="center"/>
              <w:ind w:left="786"/>
              <w:spacing w:after="0"/>
              <w:rPr>
                <w:sz w:val="20"/>
                <w:szCs w:val="20"/>
                <w:color w:val="auto"/>
              </w:rPr>
            </w:pPr>
            <w:r>
              <w:rPr>
                <w:rFonts w:ascii="Arial" w:cs="Arial" w:eastAsia="Arial" w:hAnsi="Arial"/>
                <w:sz w:val="14"/>
                <w:szCs w:val="14"/>
                <w:color w:val="auto"/>
              </w:rPr>
              <w:t>(Address of principal executive offices)</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00" w:type="dxa"/>
            <w:vAlign w:val="bottom"/>
            <w:gridSpan w:val="2"/>
          </w:tcPr>
          <w:p>
            <w:pPr>
              <w:jc w:val="center"/>
              <w:ind w:right="1500"/>
              <w:spacing w:after="0"/>
              <w:rPr>
                <w:sz w:val="20"/>
                <w:szCs w:val="20"/>
                <w:color w:val="auto"/>
              </w:rPr>
            </w:pPr>
            <w:r>
              <w:rPr>
                <w:rFonts w:ascii="Arial" w:cs="Arial" w:eastAsia="Arial" w:hAnsi="Arial"/>
                <w:sz w:val="14"/>
                <w:szCs w:val="14"/>
                <w:color w:val="auto"/>
              </w:rPr>
              <w:t>(Zip Code)</w:t>
            </w:r>
          </w:p>
        </w:tc>
      </w:tr>
      <w:tr>
        <w:trPr>
          <w:trHeight w:val="203"/>
        </w:trPr>
        <w:tc>
          <w:tcPr>
            <w:tcW w:w="4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gridSpan w:val="4"/>
          </w:tcPr>
          <w:p>
            <w:pPr>
              <w:jc w:val="center"/>
              <w:ind w:left="32"/>
              <w:spacing w:after="0"/>
              <w:rPr>
                <w:sz w:val="20"/>
                <w:szCs w:val="20"/>
                <w:color w:val="auto"/>
              </w:rPr>
            </w:pPr>
            <w:r>
              <w:rPr>
                <w:rFonts w:ascii="Arial" w:cs="Arial" w:eastAsia="Arial" w:hAnsi="Arial"/>
                <w:sz w:val="14"/>
                <w:szCs w:val="14"/>
                <w:color w:val="auto"/>
              </w:rPr>
              <w:t>(888) 505-8747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240" w:type="dxa"/>
            <w:vAlign w:val="bottom"/>
            <w:gridSpan w:val="10"/>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47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588"/>
              <w:spacing w:after="0"/>
              <w:rPr>
                <w:sz w:val="20"/>
                <w:szCs w:val="20"/>
                <w:color w:val="auto"/>
              </w:rPr>
            </w:pPr>
            <w:r>
              <w:rPr>
                <w:rFonts w:ascii="Arial" w:cs="Arial" w:eastAsia="Arial" w:hAnsi="Arial"/>
                <w:sz w:val="14"/>
                <w:szCs w:val="14"/>
                <w:color w:val="auto"/>
              </w:rPr>
              <w:t>Name of each exchange on which registered</w:t>
            </w:r>
          </w:p>
        </w:tc>
        <w:tc>
          <w:tcPr>
            <w:tcW w:w="20" w:type="dxa"/>
            <w:vAlign w:val="bottom"/>
          </w:tcPr>
          <w:p>
            <w:pPr>
              <w:spacing w:after="0"/>
              <w:rPr>
                <w:sz w:val="24"/>
                <w:szCs w:val="24"/>
                <w:color w:val="auto"/>
              </w:rPr>
            </w:pPr>
          </w:p>
        </w:tc>
      </w:tr>
      <w:tr>
        <w:trPr>
          <w:trHeight w:val="198"/>
        </w:trPr>
        <w:tc>
          <w:tcPr>
            <w:tcW w:w="4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Class A Common Stock, par value $0.00000625 per share</w:t>
            </w:r>
          </w:p>
        </w:tc>
        <w:tc>
          <w:tcPr>
            <w:tcW w:w="80" w:type="dxa"/>
            <w:vAlign w:val="bottom"/>
          </w:tcPr>
          <w:p>
            <w:pPr>
              <w:spacing w:after="0"/>
              <w:rPr>
                <w:sz w:val="17"/>
                <w:szCs w:val="17"/>
                <w:color w:val="auto"/>
              </w:rPr>
            </w:pPr>
          </w:p>
        </w:tc>
        <w:tc>
          <w:tcPr>
            <w:tcW w:w="234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rPr>
              <w:t>NAVN</w:t>
            </w:r>
          </w:p>
        </w:tc>
        <w:tc>
          <w:tcPr>
            <w:tcW w:w="4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49"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4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6" w:lineRule="exact"/>
        <w:rPr>
          <w:sz w:val="24"/>
          <w:szCs w:val="24"/>
          <w:color w:val="auto"/>
        </w:rPr>
      </w:pPr>
    </w:p>
    <w:p>
      <w:pPr>
        <w:ind w:right="520"/>
        <w:spacing w:after="0" w:line="26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4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0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396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Non-accelerated filer</w:t>
            </w:r>
          </w:p>
        </w:tc>
        <w:tc>
          <w:tcPr>
            <w:tcW w:w="180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396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960" w:type="dxa"/>
            <w:vAlign w:val="bottom"/>
          </w:tcPr>
          <w:p>
            <w:pPr>
              <w:ind w:left="62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4" w:lineRule="exact"/>
        <w:rPr>
          <w:sz w:val="24"/>
          <w:szCs w:val="24"/>
          <w:color w:val="auto"/>
        </w:rPr>
      </w:pPr>
    </w:p>
    <w:p>
      <w:pPr>
        <w:ind w:right="300"/>
        <w:spacing w:after="0" w:line="2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5" w:lineRule="exact"/>
        <w:rPr>
          <w:sz w:val="24"/>
          <w:szCs w:val="24"/>
          <w:color w:val="auto"/>
        </w:rPr>
      </w:pPr>
    </w:p>
    <w:p>
      <w:pPr>
        <w:ind w:left="104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6" w:lineRule="exact"/>
        <w:rPr>
          <w:sz w:val="24"/>
          <w:szCs w:val="24"/>
          <w:color w:val="auto"/>
        </w:rPr>
      </w:pPr>
    </w:p>
    <w:p>
      <w:pPr>
        <w:ind w:right="220"/>
        <w:spacing w:after="0" w:line="305" w:lineRule="auto"/>
        <w:rPr>
          <w:sz w:val="20"/>
          <w:szCs w:val="20"/>
          <w:color w:val="auto"/>
        </w:rPr>
      </w:pPr>
      <w:r>
        <w:rPr>
          <w:rFonts w:ascii="Arial" w:cs="Arial" w:eastAsia="Arial" w:hAnsi="Arial"/>
          <w:sz w:val="14"/>
          <w:szCs w:val="14"/>
          <w:color w:val="auto"/>
        </w:rPr>
        <w:t>As of June 4, 2026, Navan, Inc. had outstanding 239,026,566 shares of Class A common stock, par value of $0.00000625, and 15,304,696 shares of Class B common stock, par value $0.00000625.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80" w:type="dxa"/>
            <w:vAlign w:val="bottom"/>
            <w:gridSpan w:val="5"/>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98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2"/>
          </w:tcPr>
          <w:p>
            <w:pPr>
              <w:jc w:val="center"/>
              <w:ind w:right="380"/>
              <w:spacing w:after="0" w:line="156" w:lineRule="exact"/>
              <w:rPr>
                <w:sz w:val="20"/>
                <w:szCs w:val="20"/>
                <w:color w:val="auto"/>
              </w:rPr>
            </w:pPr>
            <w:r>
              <w:rPr>
                <w:rFonts w:ascii="Arial" w:cs="Arial" w:eastAsia="Arial" w:hAnsi="Arial"/>
                <w:sz w:val="18"/>
                <w:szCs w:val="18"/>
                <w:color w:val="3051F2"/>
                <w:w w:val="99"/>
              </w:rPr>
              <w:t>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300" w:type="dxa"/>
            <w:vAlign w:val="bottom"/>
            <w:gridSpan w:val="2"/>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3051F2"/>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80" w:type="dxa"/>
            <w:vAlign w:val="bottom"/>
            <w:gridSpan w:val="5"/>
          </w:tcPr>
          <w:p>
            <w:pPr>
              <w:spacing w:after="0"/>
              <w:rPr>
                <w:sz w:val="20"/>
                <w:szCs w:val="20"/>
                <w:color w:val="auto"/>
              </w:rPr>
            </w:pPr>
            <w:r>
              <w:rPr>
                <w:rFonts w:ascii="Arial" w:cs="Arial" w:eastAsia="Arial" w:hAnsi="Arial"/>
                <w:sz w:val="18"/>
                <w:szCs w:val="18"/>
                <w:color w:val="0000FF"/>
              </w:rPr>
              <w:t>Summary of Risk Factors</w:t>
            </w:r>
          </w:p>
        </w:tc>
        <w:tc>
          <w:tcPr>
            <w:tcW w:w="380" w:type="dxa"/>
            <w:vAlign w:val="bottom"/>
          </w:tcPr>
          <w:p>
            <w:pPr>
              <w:spacing w:after="0"/>
              <w:rPr>
                <w:sz w:val="18"/>
                <w:szCs w:val="18"/>
                <w:color w:val="auto"/>
              </w:rPr>
            </w:pPr>
          </w:p>
        </w:tc>
        <w:tc>
          <w:tcPr>
            <w:tcW w:w="480" w:type="dxa"/>
            <w:vAlign w:val="bottom"/>
            <w:gridSpan w:val="2"/>
          </w:tcPr>
          <w:p>
            <w:pPr>
              <w:jc w:val="center"/>
              <w:ind w:right="380"/>
              <w:spacing w:after="0"/>
              <w:rPr>
                <w:sz w:val="20"/>
                <w:szCs w:val="20"/>
                <w:color w:val="auto"/>
              </w:rPr>
            </w:pPr>
            <w:r>
              <w:rPr>
                <w:rFonts w:ascii="Arial" w:cs="Arial" w:eastAsia="Arial" w:hAnsi="Arial"/>
                <w:sz w:val="18"/>
                <w:szCs w:val="18"/>
                <w:color w:val="3051F2"/>
                <w:w w:val="99"/>
              </w:rPr>
              <w:t>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1.</w:t>
            </w:r>
          </w:p>
        </w:tc>
        <w:tc>
          <w:tcPr>
            <w:tcW w:w="8980" w:type="dxa"/>
            <w:vAlign w:val="bottom"/>
            <w:gridSpan w:val="5"/>
          </w:tcPr>
          <w:p>
            <w:pPr>
              <w:spacing w:after="0"/>
              <w:rPr>
                <w:sz w:val="20"/>
                <w:szCs w:val="20"/>
                <w:color w:val="auto"/>
              </w:rPr>
            </w:pPr>
            <w:r>
              <w:rPr>
                <w:rFonts w:ascii="Arial" w:cs="Arial" w:eastAsia="Arial" w:hAnsi="Arial"/>
                <w:sz w:val="18"/>
                <w:szCs w:val="18"/>
                <w:b w:val="1"/>
                <w:bCs w:val="1"/>
                <w:color w:val="0000FF"/>
              </w:rPr>
              <w:t>FINANCIAL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Financial Statements (Unaudited)</w:t>
            </w:r>
          </w:p>
        </w:tc>
        <w:tc>
          <w:tcPr>
            <w:tcW w:w="63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570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3051F2"/>
                <w:w w:val="99"/>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920" w:type="dxa"/>
            <w:vAlign w:val="bottom"/>
            <w:gridSpan w:val="8"/>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3051F2"/>
                <w:w w:val="99"/>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gridSpan w:val="15"/>
          </w:tcPr>
          <w:p>
            <w:pPr>
              <w:spacing w:after="0"/>
              <w:rPr>
                <w:sz w:val="20"/>
                <w:szCs w:val="20"/>
                <w:color w:val="auto"/>
              </w:rPr>
            </w:pPr>
            <w:r>
              <w:rPr>
                <w:rFonts w:ascii="Arial" w:cs="Arial" w:eastAsia="Arial" w:hAnsi="Arial"/>
                <w:sz w:val="18"/>
                <w:szCs w:val="18"/>
                <w:color w:val="0000FF"/>
                <w:w w:val="99"/>
              </w:rPr>
              <w:t>Condensed Consolidated Statements of Comprehensive Loss</w:t>
            </w:r>
          </w:p>
        </w:tc>
        <w:tc>
          <w:tcPr>
            <w:tcW w:w="4120" w:type="dxa"/>
            <w:vAlign w:val="bottom"/>
            <w:gridSpan w:val="3"/>
          </w:tcPr>
          <w:p>
            <w:pPr>
              <w:spacing w:after="0"/>
              <w:rPr>
                <w:sz w:val="18"/>
                <w:szCs w:val="18"/>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10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Redeemable Convertible Preferred Stock and Stockholders’ Equity</w:t>
            </w:r>
          </w:p>
        </w:tc>
        <w:tc>
          <w:tcPr>
            <w:tcW w:w="240" w:type="dxa"/>
            <w:vAlign w:val="bottom"/>
            <w:gridSpan w:val="3"/>
            <w:vMerge w:val="restart"/>
          </w:tcPr>
          <w:p>
            <w:pPr>
              <w:jc w:val="center"/>
              <w:spacing w:after="0"/>
              <w:rPr>
                <w:sz w:val="20"/>
                <w:szCs w:val="20"/>
                <w:color w:val="auto"/>
              </w:rPr>
            </w:pPr>
            <w:r>
              <w:rPr>
                <w:rFonts w:ascii="Arial" w:cs="Arial" w:eastAsia="Arial" w:hAnsi="Arial"/>
                <w:sz w:val="18"/>
                <w:szCs w:val="18"/>
                <w:color w:val="3051F2"/>
                <w:w w:val="8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(Deficit)</w:t>
            </w: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gridSpan w:val="3"/>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gridSpan w:val="2"/>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960" w:type="dxa"/>
            <w:vAlign w:val="bottom"/>
            <w:gridSpan w:val="2"/>
          </w:tcPr>
          <w:p>
            <w:pPr>
              <w:spacing w:after="0"/>
              <w:rPr>
                <w:sz w:val="2"/>
                <w:szCs w:val="2"/>
                <w:color w:val="auto"/>
              </w:rPr>
            </w:pPr>
          </w:p>
        </w:tc>
        <w:tc>
          <w:tcPr>
            <w:tcW w:w="100" w:type="dxa"/>
            <w:vAlign w:val="bottom"/>
            <w:tcBorders>
              <w:right w:val="single" w:sz="8" w:color="3051F2"/>
            </w:tcBorders>
          </w:tcPr>
          <w:p>
            <w:pPr>
              <w:spacing w:after="0"/>
              <w:rPr>
                <w:sz w:val="2"/>
                <w:szCs w:val="2"/>
                <w:color w:val="auto"/>
              </w:rPr>
            </w:pPr>
          </w:p>
        </w:tc>
        <w:tc>
          <w:tcPr>
            <w:tcW w:w="140" w:type="dxa"/>
            <w:vAlign w:val="bottom"/>
            <w:gridSpan w:val="2"/>
            <w:shd w:val="clear" w:color="auto" w:fill="3051F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12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7080" w:type="dxa"/>
            <w:vAlign w:val="bottom"/>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960" w:type="dxa"/>
            <w:vAlign w:val="bottom"/>
            <w:gridSpan w:val="2"/>
          </w:tcPr>
          <w:p>
            <w:pPr>
              <w:spacing w:after="0"/>
              <w:rPr>
                <w:sz w:val="18"/>
                <w:szCs w:val="18"/>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36</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w w:val="98"/>
              </w:rPr>
              <w:t>Item 3.</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708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60" w:type="dxa"/>
            <w:vAlign w:val="bottom"/>
            <w:gridSpan w:val="2"/>
          </w:tcPr>
          <w:p>
            <w:pPr>
              <w:spacing w:after="0"/>
              <w:rPr>
                <w:sz w:val="18"/>
                <w:szCs w:val="18"/>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53</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w w:val="98"/>
              </w:rPr>
              <w:t>Item 4.</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4360" w:type="dxa"/>
            <w:vAlign w:val="bottom"/>
            <w:gridSpan w:val="5"/>
          </w:tcPr>
          <w:p>
            <w:pPr>
              <w:spacing w:after="0"/>
              <w:rPr>
                <w:sz w:val="18"/>
                <w:szCs w:val="18"/>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54</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PART II</w:t>
            </w:r>
          </w:p>
        </w:tc>
        <w:tc>
          <w:tcPr>
            <w:tcW w:w="740" w:type="dxa"/>
            <w:vAlign w:val="bottom"/>
            <w:gridSpan w:val="2"/>
          </w:tcPr>
          <w:p>
            <w:pPr>
              <w:spacing w:after="0"/>
              <w:rPr>
                <w:sz w:val="24"/>
                <w:szCs w:val="24"/>
                <w:color w:val="auto"/>
              </w:rPr>
            </w:pP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8"/>
              </w:rPr>
              <w:t>OTHER INFORMATION</w:t>
            </w:r>
          </w:p>
        </w:tc>
        <w:tc>
          <w:tcPr>
            <w:tcW w:w="732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55</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20"/>
                <w:szCs w:val="20"/>
                <w:color w:val="auto"/>
              </w:rPr>
            </w:pPr>
            <w:r>
              <w:rPr>
                <w:rFonts w:ascii="Arial" w:cs="Arial" w:eastAsia="Arial" w:hAnsi="Arial"/>
                <w:sz w:val="18"/>
                <w:szCs w:val="18"/>
                <w:color w:val="auto"/>
                <w:w w:val="98"/>
              </w:rPr>
              <w:t>Item 1A.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8040" w:type="dxa"/>
            <w:vAlign w:val="bottom"/>
            <w:gridSpan w:val="15"/>
          </w:tcPr>
          <w:p>
            <w:pPr>
              <w:spacing w:after="0"/>
              <w:rPr>
                <w:sz w:val="18"/>
                <w:szCs w:val="18"/>
                <w:color w:val="auto"/>
              </w:rPr>
            </w:pP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55</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0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1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107</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Item 3.</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4200" w:type="dxa"/>
            <w:vAlign w:val="bottom"/>
            <w:gridSpan w:val="4"/>
          </w:tcPr>
          <w:p>
            <w:pPr>
              <w:spacing w:after="0"/>
              <w:rPr>
                <w:sz w:val="18"/>
                <w:szCs w:val="18"/>
                <w:color w:val="auto"/>
              </w:rPr>
            </w:pPr>
          </w:p>
        </w:tc>
        <w:tc>
          <w:tcPr>
            <w:tcW w:w="300" w:type="dxa"/>
            <w:vAlign w:val="bottom"/>
            <w:tcBorders>
              <w:top w:val="single" w:sz="8" w:color="3051F2"/>
            </w:tcBorders>
            <w:gridSpan w:val="4"/>
          </w:tcPr>
          <w:p>
            <w:pPr>
              <w:jc w:val="center"/>
              <w:spacing w:after="0"/>
              <w:rPr>
                <w:sz w:val="20"/>
                <w:szCs w:val="20"/>
                <w:color w:val="auto"/>
              </w:rPr>
            </w:pPr>
            <w:r>
              <w:rPr>
                <w:rFonts w:ascii="Arial" w:cs="Arial" w:eastAsia="Arial" w:hAnsi="Arial"/>
                <w:sz w:val="18"/>
                <w:szCs w:val="18"/>
                <w:color w:val="3051F2"/>
                <w:w w:val="99"/>
              </w:rPr>
              <w:t>107</w:t>
            </w:r>
          </w:p>
        </w:tc>
        <w:tc>
          <w:tcPr>
            <w:tcW w:w="0" w:type="dxa"/>
            <w:vAlign w:val="bottom"/>
          </w:tcPr>
          <w:p>
            <w:pPr>
              <w:spacing w:after="0"/>
              <w:rPr>
                <w:sz w:val="1"/>
                <w:szCs w:val="1"/>
                <w:color w:val="auto"/>
              </w:rPr>
            </w:pPr>
          </w:p>
        </w:tc>
      </w:tr>
      <w:tr>
        <w:trPr>
          <w:trHeight w:val="209"/>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Item 4.</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6500" w:type="dxa"/>
            <w:vAlign w:val="bottom"/>
            <w:gridSpan w:val="10"/>
          </w:tcPr>
          <w:p>
            <w:pPr>
              <w:spacing w:after="0"/>
              <w:rPr>
                <w:sz w:val="18"/>
                <w:szCs w:val="18"/>
                <w:color w:val="auto"/>
              </w:rPr>
            </w:pPr>
          </w:p>
        </w:tc>
        <w:tc>
          <w:tcPr>
            <w:tcW w:w="300" w:type="dxa"/>
            <w:vAlign w:val="bottom"/>
            <w:tcBorders>
              <w:top w:val="single" w:sz="8" w:color="3051F2"/>
            </w:tcBorders>
            <w:gridSpan w:val="4"/>
          </w:tcPr>
          <w:p>
            <w:pPr>
              <w:jc w:val="center"/>
              <w:spacing w:after="0"/>
              <w:rPr>
                <w:sz w:val="20"/>
                <w:szCs w:val="20"/>
                <w:color w:val="auto"/>
              </w:rPr>
            </w:pPr>
            <w:r>
              <w:rPr>
                <w:rFonts w:ascii="Arial" w:cs="Arial" w:eastAsia="Arial" w:hAnsi="Arial"/>
                <w:sz w:val="18"/>
                <w:szCs w:val="18"/>
                <w:color w:val="3051F2"/>
                <w:w w:val="99"/>
              </w:rPr>
              <w:t>107</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8"/>
              </w:rPr>
              <w:t>Item 5.</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3"/>
          </w:tcPr>
          <w:p>
            <w:pPr>
              <w:spacing w:after="0"/>
              <w:rPr>
                <w:sz w:val="18"/>
                <w:szCs w:val="18"/>
                <w:color w:val="auto"/>
              </w:rPr>
            </w:pPr>
          </w:p>
        </w:tc>
        <w:tc>
          <w:tcPr>
            <w:tcW w:w="7060" w:type="dxa"/>
            <w:vAlign w:val="bottom"/>
            <w:gridSpan w:val="11"/>
          </w:tcPr>
          <w:p>
            <w:pPr>
              <w:spacing w:after="0"/>
              <w:rPr>
                <w:sz w:val="18"/>
                <w:szCs w:val="18"/>
                <w:color w:val="auto"/>
              </w:rPr>
            </w:pPr>
          </w:p>
        </w:tc>
        <w:tc>
          <w:tcPr>
            <w:tcW w:w="300" w:type="dxa"/>
            <w:vAlign w:val="bottom"/>
            <w:tcBorders>
              <w:top w:val="single" w:sz="8" w:color="3051F2"/>
              <w:bottom w:val="single" w:sz="8" w:color="3051F2"/>
            </w:tcBorders>
            <w:gridSpan w:val="4"/>
          </w:tcPr>
          <w:p>
            <w:pPr>
              <w:jc w:val="center"/>
              <w:spacing w:after="0"/>
              <w:rPr>
                <w:sz w:val="20"/>
                <w:szCs w:val="20"/>
                <w:color w:val="auto"/>
              </w:rPr>
            </w:pPr>
            <w:r>
              <w:rPr>
                <w:rFonts w:ascii="Arial" w:cs="Arial" w:eastAsia="Arial" w:hAnsi="Arial"/>
                <w:sz w:val="18"/>
                <w:szCs w:val="18"/>
                <w:color w:val="3051F2"/>
                <w:w w:val="99"/>
              </w:rPr>
              <w:t>107</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w w:val="98"/>
              </w:rPr>
              <w:t>Item 6.</w:t>
            </w:r>
          </w:p>
        </w:tc>
        <w:tc>
          <w:tcPr>
            <w:tcW w:w="8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300" w:type="dxa"/>
            <w:vAlign w:val="bottom"/>
            <w:gridSpan w:val="4"/>
          </w:tcPr>
          <w:p>
            <w:pPr>
              <w:jc w:val="center"/>
              <w:spacing w:after="0"/>
              <w:rPr>
                <w:sz w:val="20"/>
                <w:szCs w:val="20"/>
                <w:color w:val="auto"/>
              </w:rPr>
            </w:pPr>
            <w:r>
              <w:rPr>
                <w:rFonts w:ascii="Arial" w:cs="Arial" w:eastAsia="Arial" w:hAnsi="Arial"/>
                <w:sz w:val="18"/>
                <w:szCs w:val="18"/>
                <w:color w:val="3051F2"/>
                <w:w w:val="99"/>
              </w:rPr>
              <w:t>108</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300" w:type="dxa"/>
            <w:vAlign w:val="bottom"/>
            <w:gridSpan w:val="4"/>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Signatures</w:t>
            </w:r>
          </w:p>
        </w:tc>
        <w:tc>
          <w:tcPr>
            <w:tcW w:w="8180" w:type="dxa"/>
            <w:vAlign w:val="bottom"/>
            <w:gridSpan w:val="16"/>
          </w:tcPr>
          <w:p>
            <w:pPr>
              <w:spacing w:after="0"/>
              <w:rPr>
                <w:sz w:val="18"/>
                <w:szCs w:val="18"/>
                <w:color w:val="auto"/>
              </w:rPr>
            </w:pPr>
          </w:p>
        </w:tc>
        <w:tc>
          <w:tcPr>
            <w:tcW w:w="300" w:type="dxa"/>
            <w:vAlign w:val="bottom"/>
            <w:tcBorders>
              <w:bottom w:val="single" w:sz="8" w:color="3051F2"/>
            </w:tcBorders>
            <w:gridSpan w:val="4"/>
          </w:tcPr>
          <w:p>
            <w:pPr>
              <w:jc w:val="center"/>
              <w:spacing w:after="0"/>
              <w:rPr>
                <w:sz w:val="20"/>
                <w:szCs w:val="20"/>
                <w:color w:val="auto"/>
              </w:rPr>
            </w:pPr>
            <w:r>
              <w:rPr>
                <w:rFonts w:ascii="Arial" w:cs="Arial" w:eastAsia="Arial" w:hAnsi="Arial"/>
                <w:sz w:val="18"/>
                <w:szCs w:val="18"/>
                <w:color w:val="3051F2"/>
                <w:w w:val="99"/>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71" w:lineRule="exact"/>
        <w:rPr>
          <w:sz w:val="20"/>
          <w:szCs w:val="20"/>
          <w:color w:val="auto"/>
        </w:rPr>
      </w:pPr>
    </w:p>
    <w:p>
      <w:pPr>
        <w:jc w:val="both"/>
        <w:ind w:left="660" w:right="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gross booking volume, payment volume, revenue, cost of revenue, gross profit or gross margin, cash flow, operating expenses, including changes in operating expenses, and our ability to achieve and maintain future profitability;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overall demand for business travel and global travel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customers’ travel and expense budgets and IT spending budgets;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platform and our ability to increase adoption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drive adoption and expansion of our additional offerings, including Corporate Payments, Expense Management, Meetings and Events, VIP, and Bleisure;</w:t>
      </w:r>
    </w:p>
    <w:p>
      <w:pPr>
        <w:spacing w:after="0" w:line="125" w:lineRule="exact"/>
        <w:rPr>
          <w:rFonts w:ascii="Arial" w:cs="Arial" w:eastAsia="Arial" w:hAnsi="Arial"/>
          <w:sz w:val="18"/>
          <w:szCs w:val="18"/>
          <w:color w:val="auto"/>
        </w:rPr>
      </w:pPr>
    </w:p>
    <w:p>
      <w:pPr>
        <w:ind w:left="660" w:right="400" w:hanging="328"/>
        <w:spacing w:after="0" w:line="231"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continue developing, improving, and implementing artificial intelligence (“AI”) and machine learning (“ML”) into our platform and offerings, including Navan Cognition and Navan Edge, our proprietary AI framework for our platform, and related AI features and functionalities;</w:t>
      </w:r>
    </w:p>
    <w:p>
      <w:pPr>
        <w:spacing w:after="0" w:line="8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and effectively scale, enhance, and adapt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offerings and products and bring them to market in a timely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and expand internationally;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 particular with suppliers and payment partners, and our ability to maintain commission rates and access to travel inventory;</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 and our ability to successfully integrate them into our business and operations;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high-quality customer support, including through automation and AI-enabled tools, while controlling customer support costs;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 including as it relates to AI;</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grow our business in light of macroeconomic uncertainty;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statements regarding our future operations, financial condition, and prospects and business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the context otherwise requires, all references in this Quarterly Report on Form 10-Q to “we,” “us,” “our,” “our company,” and “Navan” refer to Navan, Inc. and its consolidated subsidiaries.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Navan, the Navan logo, and other registered or common law trade names, trademarks, or service marks of Navan that may appear in this Quarterly Report on Form 10-Q are the property of Navan, Inc. Solely for convenience, our trade names, trademarks, logos, and service marks referred to in this Quarterly Report on Form 10-Q may appear without the ® and ™ symbols, but those references are not intended to indicate, in any way, that we will not assert, to the fullest extent under applicable law, our rights, or the right of the applicable licensor, to these trademarks, trade names, logos,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announce material information to the public through filings with the Securities and Exchange Commission (the “SEC”), the investor relations page on our website (www.investors.navan.com),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 on, or that can be accessed through, the foregoing channels is not a part of this Quarterly Report on Form 10-Q.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and in our periodic reports filed with the SEC.</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is subject to numerous risks and uncertainties, including those set forth below. This summary does not contain all of the information that may be important to you, and you should read this summary together with the more detailed discussion of risks and uncertainties set forth in the section titled “Risk Factors” included elsewhere in this Quarterly Report on Form 10-Q. Below is a summary of some of these risks, any one of which could materially adversely affect our business, results of operations, financial condition, and prospects.</w:t>
      </w:r>
    </w:p>
    <w:p>
      <w:pPr>
        <w:spacing w:after="0" w:line="122" w:lineRule="exact"/>
        <w:rPr>
          <w:sz w:val="20"/>
          <w:szCs w:val="20"/>
          <w:color w:val="auto"/>
        </w:rPr>
      </w:pPr>
    </w:p>
    <w:p>
      <w:pPr>
        <w:ind w:right="20"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98" w:lineRule="exact"/>
        <w:rPr>
          <w:rFonts w:ascii="Arial" w:cs="Arial" w:eastAsia="Arial" w:hAnsi="Arial"/>
          <w:sz w:val="18"/>
          <w:szCs w:val="18"/>
          <w:color w:val="auto"/>
        </w:rPr>
      </w:pPr>
    </w:p>
    <w:p>
      <w:pPr>
        <w:ind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98" w:lineRule="exact"/>
        <w:rPr>
          <w:rFonts w:ascii="Arial" w:cs="Arial" w:eastAsia="Arial" w:hAnsi="Arial"/>
          <w:sz w:val="18"/>
          <w:szCs w:val="18"/>
          <w:color w:val="auto"/>
        </w:rPr>
      </w:pPr>
    </w:p>
    <w:p>
      <w:pPr>
        <w:ind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Shifts in business travel trends or any decline in business travel demand would negatively impact our business, growth, results of operations, and financial condition.</w:t>
      </w:r>
    </w:p>
    <w:p>
      <w:pPr>
        <w:spacing w:after="0" w:line="98" w:lineRule="exact"/>
        <w:rPr>
          <w:rFonts w:ascii="Arial" w:cs="Arial" w:eastAsia="Arial" w:hAnsi="Arial"/>
          <w:sz w:val="18"/>
          <w:szCs w:val="18"/>
          <w:color w:val="auto"/>
        </w:rPr>
      </w:pPr>
    </w:p>
    <w:p>
      <w:pPr>
        <w:ind w:right="20"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attract new customers and grow our customer base, which would negatively impact our revenue growth and results of operations.</w:t>
      </w:r>
    </w:p>
    <w:p>
      <w:pPr>
        <w:spacing w:after="0" w:line="98" w:lineRule="exact"/>
        <w:rPr>
          <w:rFonts w:ascii="Arial" w:cs="Arial" w:eastAsia="Arial" w:hAnsi="Arial"/>
          <w:sz w:val="18"/>
          <w:szCs w:val="18"/>
          <w:color w:val="auto"/>
        </w:rPr>
      </w:pPr>
    </w:p>
    <w:p>
      <w:pPr>
        <w:ind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98" w:lineRule="exact"/>
        <w:rPr>
          <w:rFonts w:ascii="Arial" w:cs="Arial" w:eastAsia="Arial" w:hAnsi="Arial"/>
          <w:sz w:val="18"/>
          <w:szCs w:val="18"/>
          <w:color w:val="auto"/>
        </w:rPr>
      </w:pPr>
    </w:p>
    <w:p>
      <w:pPr>
        <w:ind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offer high-quality customer support, including through our AI-powered virtual agents, or if our support is more expensive than anticipated, our business, margins, and reputation could suffer.</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Travel Management offerings depend on our relationships with suppliers.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71" w:lineRule="exact"/>
        <w:rPr>
          <w:rFonts w:ascii="Arial" w:cs="Arial" w:eastAsia="Arial" w:hAnsi="Arial"/>
          <w:sz w:val="18"/>
          <w:szCs w:val="18"/>
          <w:color w:val="auto"/>
        </w:rPr>
      </w:pPr>
    </w:p>
    <w:p>
      <w:pPr>
        <w:jc w:val="both"/>
        <w:ind w:firstLine="8"/>
        <w:spacing w:after="0" w:line="268"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investing in our Class A common stock.</w:t>
      </w:r>
    </w:p>
    <w:p>
      <w:pPr>
        <w:spacing w:after="0" w:line="116" w:lineRule="exact"/>
        <w:rPr>
          <w:rFonts w:ascii="Arial" w:cs="Arial" w:eastAsia="Arial" w:hAnsi="Arial"/>
          <w:sz w:val="18"/>
          <w:szCs w:val="18"/>
          <w:color w:val="auto"/>
        </w:rPr>
      </w:pPr>
    </w:p>
    <w:p>
      <w:pPr>
        <w:ind w:right="20"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98" w:lineRule="exact"/>
        <w:rPr>
          <w:rFonts w:ascii="Arial" w:cs="Arial" w:eastAsia="Arial" w:hAnsi="Arial"/>
          <w:sz w:val="18"/>
          <w:szCs w:val="18"/>
          <w:color w:val="auto"/>
        </w:rPr>
      </w:pPr>
    </w:p>
    <w:p>
      <w:pPr>
        <w:jc w:val="both"/>
        <w:ind w:firstLine="8"/>
        <w:spacing w:after="0" w:line="268"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16" w:lineRule="exact"/>
        <w:rPr>
          <w:rFonts w:ascii="Arial" w:cs="Arial" w:eastAsia="Arial" w:hAnsi="Arial"/>
          <w:sz w:val="18"/>
          <w:szCs w:val="18"/>
          <w:color w:val="auto"/>
        </w:rPr>
      </w:pPr>
    </w:p>
    <w:p>
      <w:pPr>
        <w:ind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which could subject us to additional costs and risks, and our continued expansion internationally may not be successful.</w:t>
      </w:r>
    </w:p>
    <w:p>
      <w:pPr>
        <w:spacing w:after="0" w:line="98" w:lineRule="exact"/>
        <w:rPr>
          <w:rFonts w:ascii="Arial" w:cs="Arial" w:eastAsia="Arial" w:hAnsi="Arial"/>
          <w:sz w:val="18"/>
          <w:szCs w:val="18"/>
          <w:color w:val="auto"/>
        </w:rPr>
      </w:pPr>
    </w:p>
    <w:p>
      <w:pPr>
        <w:ind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platform.</w:t>
      </w:r>
    </w:p>
    <w:p>
      <w:pPr>
        <w:spacing w:after="0" w:line="98" w:lineRule="exact"/>
        <w:rPr>
          <w:rFonts w:ascii="Arial" w:cs="Arial" w:eastAsia="Arial" w:hAnsi="Arial"/>
          <w:sz w:val="18"/>
          <w:szCs w:val="18"/>
          <w:color w:val="auto"/>
        </w:rPr>
      </w:pPr>
    </w:p>
    <w:p>
      <w:pPr>
        <w:ind w:right="20"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8"/>
        <w:spacing w:after="0" w:line="28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artificial intelligence, including generative AI and ML, gives rise to legal, business, and operational risks, which may result in diminished performance, regulatory scrutiny, social impacts, reputational harm, and liability arising from the use of this technology.</w:t>
      </w:r>
    </w:p>
    <w:p>
      <w:pPr>
        <w:spacing w:after="0" w:line="98" w:lineRule="exact"/>
        <w:rPr>
          <w:rFonts w:ascii="Arial" w:cs="Arial" w:eastAsia="Arial" w:hAnsi="Arial"/>
          <w:sz w:val="18"/>
          <w:szCs w:val="18"/>
          <w:color w:val="auto"/>
        </w:rPr>
      </w:pPr>
    </w:p>
    <w:p>
      <w:pPr>
        <w:jc w:val="both"/>
        <w:ind w:firstLine="8"/>
        <w:spacing w:after="0" w:line="268"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 the past, and may in the future, identify material weaknesses or otherwise fail to maintain an effective system of internal controls, which could result in material misstatements of our annual or interim condensed consolidated financial statements or cause us to fail to meet our periodic reporting obligations.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and could decline significantly and rapidly.</w:t>
      </w:r>
    </w:p>
    <w:p>
      <w:pPr>
        <w:spacing w:after="0" w:line="171" w:lineRule="exact"/>
        <w:rPr>
          <w:rFonts w:ascii="Arial" w:cs="Arial" w:eastAsia="Arial" w:hAnsi="Arial"/>
          <w:sz w:val="18"/>
          <w:szCs w:val="18"/>
          <w:color w:val="auto"/>
        </w:rPr>
      </w:pPr>
    </w:p>
    <w:p>
      <w:pPr>
        <w:ind w:firstLine="8"/>
        <w:spacing w:after="0" w:line="28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30, 2026</w:t>
            </w:r>
          </w:p>
        </w:tc>
        <w:tc>
          <w:tcPr>
            <w:tcW w:w="160" w:type="dxa"/>
            <w:vAlign w:val="bottom"/>
          </w:tcPr>
          <w:p>
            <w:pPr>
              <w:spacing w:after="0"/>
              <w:rPr>
                <w:sz w:val="17"/>
                <w:szCs w:val="17"/>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b w:val="1"/>
                <w:bCs w:val="1"/>
                <w:color w:val="auto"/>
              </w:rPr>
              <w:t>January 31, 2026</w:t>
            </w:r>
          </w:p>
        </w:tc>
      </w:tr>
      <w:tr>
        <w:trPr>
          <w:trHeight w:val="21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583,516</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121,678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79,647</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156,994</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226,423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215,941</w:t>
            </w: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card receivables,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206,182</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Contract acquisition costs,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9,466</w:t>
            </w: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55,241</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1,314,765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1,306,987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Contract acquisition costs, non-current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29,177</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35,028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237,534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241,309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28,645</w:t>
            </w: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1,714,177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1,708,761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65,939</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185,299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197,253</w:t>
            </w: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payable, 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11,973</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45,187</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305,048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320,936</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118,174</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Notes payable, non-current</w:t>
            </w:r>
          </w:p>
        </w:tc>
        <w:tc>
          <w:tcPr>
            <w:tcW w:w="20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-4859655</wp:posOffset>
            </wp:positionV>
            <wp:extent cx="889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460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-4859655</wp:posOffset>
            </wp:positionV>
            <wp:extent cx="825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30, 2026</w:t>
            </w:r>
          </w:p>
        </w:tc>
        <w:tc>
          <w:tcPr>
            <w:tcW w:w="16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Arial" w:cs="Arial" w:eastAsia="Arial" w:hAnsi="Arial"/>
                <w:sz w:val="14"/>
                <w:szCs w:val="14"/>
                <w:b w:val="1"/>
                <w:bCs w:val="1"/>
                <w:color w:val="auto"/>
              </w:rPr>
              <w:t>January 31, 2026</w:t>
            </w:r>
          </w:p>
        </w:tc>
        <w:tc>
          <w:tcPr>
            <w:tcW w:w="0" w:type="dxa"/>
            <w:vAlign w:val="bottom"/>
          </w:tcPr>
          <w:p>
            <w:pPr>
              <w:spacing w:after="0"/>
              <w:rPr>
                <w:sz w:val="1"/>
                <w:szCs w:val="1"/>
                <w:color w:val="auto"/>
              </w:rPr>
            </w:pPr>
          </w:p>
        </w:tc>
      </w:tr>
      <w:tr>
        <w:trPr>
          <w:trHeight w:val="21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Preferred stock, par value $0.00000625 per share: 20,000,000 shares authorized, no shares issued</w:t>
            </w:r>
          </w:p>
        </w:tc>
        <w:tc>
          <w:tcPr>
            <w:tcW w:w="200" w:type="dxa"/>
            <w:vAlign w:val="bottom"/>
            <w:shd w:val="clear" w:color="auto" w:fill="CCEEFF"/>
          </w:tcPr>
          <w:p>
            <w:pPr>
              <w:spacing w:after="0"/>
              <w:rPr>
                <w:sz w:val="15"/>
                <w:szCs w:val="15"/>
                <w:color w:val="auto"/>
              </w:rPr>
            </w:pPr>
          </w:p>
        </w:tc>
        <w:tc>
          <w:tcPr>
            <w:tcW w:w="13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outstanding as of April 30, 2026 and January 31, 2026</w:t>
            </w:r>
          </w:p>
        </w:tc>
        <w:tc>
          <w:tcPr>
            <w:tcW w:w="200" w:type="dxa"/>
            <w:vAlign w:val="bottom"/>
            <w:shd w:val="clear" w:color="auto" w:fill="CCEEFF"/>
          </w:tcPr>
          <w:p>
            <w:pPr>
              <w:spacing w:after="0"/>
              <w:rPr>
                <w:sz w:val="21"/>
                <w:szCs w:val="21"/>
                <w:color w:val="auto"/>
              </w:rPr>
            </w:pPr>
          </w:p>
        </w:tc>
        <w:tc>
          <w:tcPr>
            <w:tcW w:w="1340" w:type="dxa"/>
            <w:vAlign w:val="bottom"/>
            <w:gridSpan w:val="3"/>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80"/>
              <w:spacing w:after="0" w:line="176" w:lineRule="exact"/>
              <w:rPr>
                <w:sz w:val="20"/>
                <w:szCs w:val="20"/>
                <w:color w:val="auto"/>
              </w:rPr>
            </w:pPr>
            <w:r>
              <w:rPr>
                <w:rFonts w:ascii="Arial" w:cs="Arial" w:eastAsia="Arial" w:hAnsi="Arial"/>
                <w:sz w:val="18"/>
                <w:szCs w:val="18"/>
                <w:color w:val="auto"/>
              </w:rPr>
              <w:t>Class A common stock, par value $0.00000625 per share: 2,000,000,000 shares authorized,</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tcPr>
          <w:p>
            <w:pPr>
              <w:ind w:left="320"/>
              <w:spacing w:after="0" w:line="183" w:lineRule="exact"/>
              <w:rPr>
                <w:sz w:val="20"/>
                <w:szCs w:val="20"/>
                <w:color w:val="auto"/>
              </w:rPr>
            </w:pPr>
            <w:r>
              <w:rPr>
                <w:rFonts w:ascii="Arial" w:cs="Arial" w:eastAsia="Arial" w:hAnsi="Arial"/>
                <w:sz w:val="18"/>
                <w:szCs w:val="18"/>
                <w:color w:val="auto"/>
              </w:rPr>
              <w:t>237,266,717 shares issued and outstanding as of April 30, 2026. 2,000,000,000 shares authorized,</w:t>
            </w: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8220" w:type="dxa"/>
            <w:vAlign w:val="bottom"/>
          </w:tcPr>
          <w:p>
            <w:pPr>
              <w:ind w:left="320"/>
              <w:spacing w:after="0"/>
              <w:rPr>
                <w:sz w:val="20"/>
                <w:szCs w:val="20"/>
                <w:color w:val="auto"/>
              </w:rPr>
            </w:pPr>
            <w:r>
              <w:rPr>
                <w:rFonts w:ascii="Arial" w:cs="Arial" w:eastAsia="Arial" w:hAnsi="Arial"/>
                <w:sz w:val="18"/>
                <w:szCs w:val="18"/>
                <w:color w:val="auto"/>
              </w:rPr>
              <w:t>233,870,081 shares issued and outstanding as of January 31, 2026</w:t>
            </w:r>
          </w:p>
        </w:tc>
        <w:tc>
          <w:tcPr>
            <w:tcW w:w="2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Class B common stock, par value $0.00000625 per share: 50,000,000 shares authorized, 15,304,696</w:t>
            </w:r>
          </w:p>
        </w:tc>
        <w:tc>
          <w:tcPr>
            <w:tcW w:w="200" w:type="dxa"/>
            <w:vAlign w:val="bottom"/>
            <w:shd w:val="clear" w:color="auto" w:fill="CCEEFF"/>
          </w:tcPr>
          <w:p>
            <w:pPr>
              <w:spacing w:after="0"/>
              <w:rPr>
                <w:sz w:val="15"/>
                <w:szCs w:val="15"/>
                <w:color w:val="auto"/>
              </w:rPr>
            </w:pPr>
          </w:p>
        </w:tc>
        <w:tc>
          <w:tcPr>
            <w:tcW w:w="13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and outstanding as of April 30, 2026 and January 31, 2026</w:t>
            </w:r>
          </w:p>
        </w:tc>
        <w:tc>
          <w:tcPr>
            <w:tcW w:w="200" w:type="dxa"/>
            <w:vAlign w:val="bottom"/>
            <w:shd w:val="clear" w:color="auto" w:fill="CCEEFF"/>
          </w:tcPr>
          <w:p>
            <w:pPr>
              <w:spacing w:after="0"/>
              <w:rPr>
                <w:sz w:val="21"/>
                <w:szCs w:val="21"/>
                <w:color w:val="auto"/>
              </w:rPr>
            </w:pPr>
          </w:p>
        </w:tc>
        <w:tc>
          <w:tcPr>
            <w:tcW w:w="1340" w:type="dxa"/>
            <w:vAlign w:val="bottom"/>
            <w:gridSpan w:val="3"/>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3,281,120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3,226,427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(2,015,143)</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1,236,616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1,208,061</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1,714,177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1,708,761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-2116455</wp:posOffset>
            </wp:positionV>
            <wp:extent cx="889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460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-2116455</wp:posOffset>
            </wp:positionV>
            <wp:extent cx="825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157,461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111,793</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31,402</w:t>
            </w: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61,880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127,687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(15,894)</w:t>
            </w: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fair value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(56,775)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(61,257)</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 per share attributable to</w:t>
            </w:r>
          </w:p>
        </w:tc>
        <w:tc>
          <w:tcPr>
            <w:tcW w:w="3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250,281,201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46,145,251</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7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26,035</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Unrealized loss on marketable securities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 (loss)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(35,222)</w:t>
            </w:r>
          </w:p>
        </w:tc>
      </w:tr>
      <w:tr>
        <w:trPr>
          <w:trHeight w:val="21"/>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7"/>
            <w:vMerge w:val="restart"/>
          </w:tcPr>
          <w:p>
            <w:pPr>
              <w:jc w:val="center"/>
              <w:ind w:right="180"/>
              <w:spacing w:after="0"/>
              <w:rPr>
                <w:sz w:val="20"/>
                <w:szCs w:val="20"/>
                <w:color w:val="auto"/>
              </w:rPr>
            </w:pPr>
            <w:r>
              <w:rPr>
                <w:rFonts w:ascii="Arial" w:cs="Arial" w:eastAsia="Arial" w:hAnsi="Arial"/>
                <w:sz w:val="13"/>
                <w:szCs w:val="13"/>
                <w:b w:val="1"/>
                <w:bCs w:val="1"/>
                <w:color w:val="auto"/>
                <w:w w:val="96"/>
              </w:rPr>
              <w:t>Redeemable Convertible</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5"/>
                <w:szCs w:val="15"/>
                <w:color w:val="auto"/>
              </w:rPr>
            </w:pPr>
          </w:p>
        </w:tc>
        <w:tc>
          <w:tcPr>
            <w:tcW w:w="84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gridSpan w:val="7"/>
            <w:vMerge w:val="restart"/>
          </w:tcPr>
          <w:p>
            <w:pPr>
              <w:ind w:left="340"/>
              <w:spacing w:after="0"/>
              <w:rPr>
                <w:sz w:val="20"/>
                <w:szCs w:val="20"/>
                <w:color w:val="auto"/>
              </w:rPr>
            </w:pPr>
            <w:r>
              <w:rPr>
                <w:rFonts w:ascii="Arial" w:cs="Arial" w:eastAsia="Arial" w:hAnsi="Arial"/>
                <w:sz w:val="13"/>
                <w:szCs w:val="13"/>
                <w:b w:val="1"/>
                <w:bCs w:val="1"/>
                <w:color w:val="auto"/>
              </w:rPr>
              <w:t>Common Stock</w:t>
            </w:r>
            <w:r>
              <w:rPr>
                <w:rFonts w:ascii="Arial" w:cs="Arial" w:eastAsia="Arial" w:hAnsi="Arial"/>
                <w:sz w:val="16"/>
                <w:szCs w:val="16"/>
                <w:b w:val="1"/>
                <w:bCs w:val="1"/>
                <w:color w:val="auto"/>
                <w:vertAlign w:val="superscript"/>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w w:val="97"/>
              </w:rPr>
              <w:t>Preferred Stock</w:t>
            </w:r>
          </w:p>
        </w:tc>
        <w:tc>
          <w:tcPr>
            <w:tcW w:w="60" w:type="dxa"/>
            <w:vAlign w:val="bottom"/>
          </w:tcPr>
          <w:p>
            <w:pPr>
              <w:spacing w:after="0"/>
              <w:rPr>
                <w:sz w:val="15"/>
                <w:szCs w:val="15"/>
                <w:color w:val="auto"/>
              </w:rPr>
            </w:pPr>
          </w:p>
        </w:tc>
        <w:tc>
          <w:tcPr>
            <w:tcW w:w="186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paid-in</w:t>
            </w:r>
          </w:p>
        </w:tc>
        <w:tc>
          <w:tcPr>
            <w:tcW w:w="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5"/>
                <w:szCs w:val="15"/>
                <w:color w:val="auto"/>
              </w:rPr>
            </w:pPr>
          </w:p>
        </w:tc>
        <w:tc>
          <w:tcPr>
            <w:tcW w:w="840" w:type="dxa"/>
            <w:vAlign w:val="bottom"/>
          </w:tcPr>
          <w:p>
            <w:pPr>
              <w:jc w:val="center"/>
              <w:ind w:right="67"/>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capital</w:t>
            </w:r>
          </w:p>
        </w:tc>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loss</w:t>
            </w:r>
          </w:p>
        </w:tc>
        <w:tc>
          <w:tcPr>
            <w:tcW w:w="14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98"/>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January 31, 2026</w:t>
            </w: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249,174,777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3,226,427</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(2,015,143)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1,208,061</w:t>
            </w:r>
          </w:p>
        </w:tc>
        <w:tc>
          <w:tcPr>
            <w:tcW w:w="0" w:type="dxa"/>
            <w:vAlign w:val="bottom"/>
          </w:tcPr>
          <w:p>
            <w:pPr>
              <w:spacing w:after="0"/>
              <w:rPr>
                <w:sz w:val="1"/>
                <w:szCs w:val="1"/>
                <w:color w:val="auto"/>
              </w:rPr>
            </w:pPr>
          </w:p>
        </w:tc>
      </w:tr>
      <w:tr>
        <w:trPr>
          <w:trHeight w:val="201"/>
        </w:trPr>
        <w:tc>
          <w:tcPr>
            <w:tcW w:w="3180" w:type="dxa"/>
            <w:vAlign w:val="bottom"/>
          </w:tcPr>
          <w:p>
            <w:pPr>
              <w:ind w:left="20"/>
              <w:spacing w:after="0"/>
              <w:rPr>
                <w:sz w:val="20"/>
                <w:szCs w:val="20"/>
                <w:color w:val="auto"/>
              </w:rPr>
            </w:pPr>
            <w:r>
              <w:rPr>
                <w:rFonts w:ascii="Arial" w:cs="Arial" w:eastAsia="Arial" w:hAnsi="Arial"/>
                <w:sz w:val="15"/>
                <w:szCs w:val="15"/>
                <w:color w:val="auto"/>
              </w:rPr>
              <w:t>Net loss</w:t>
            </w:r>
          </w:p>
        </w:tc>
        <w:tc>
          <w:tcPr>
            <w:tcW w:w="4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(20,506)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(20,506)</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 net of tax</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(5,632)</w:t>
            </w:r>
          </w:p>
        </w:tc>
        <w:tc>
          <w:tcPr>
            <w:tcW w:w="0" w:type="dxa"/>
            <w:vAlign w:val="bottom"/>
          </w:tcPr>
          <w:p>
            <w:pPr>
              <w:spacing w:after="0"/>
              <w:rPr>
                <w:sz w:val="1"/>
                <w:szCs w:val="1"/>
                <w:color w:val="auto"/>
              </w:rPr>
            </w:pPr>
          </w:p>
        </w:tc>
      </w:tr>
      <w:tr>
        <w:trPr>
          <w:trHeight w:val="158"/>
        </w:trPr>
        <w:tc>
          <w:tcPr>
            <w:tcW w:w="3180" w:type="dxa"/>
            <w:vAlign w:val="bottom"/>
          </w:tcPr>
          <w:p>
            <w:pPr>
              <w:ind w:left="20"/>
              <w:spacing w:after="0" w:line="158" w:lineRule="exact"/>
              <w:rPr>
                <w:sz w:val="20"/>
                <w:szCs w:val="20"/>
                <w:color w:val="auto"/>
              </w:rPr>
            </w:pPr>
            <w:r>
              <w:rPr>
                <w:rFonts w:ascii="Arial" w:cs="Arial" w:eastAsia="Arial" w:hAnsi="Arial"/>
                <w:sz w:val="15"/>
                <w:szCs w:val="15"/>
                <w:color w:val="auto"/>
              </w:rPr>
              <w:t>Issuance of common stock upon exercise of</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5"/>
                <w:szCs w:val="15"/>
                <w:color w:val="auto"/>
              </w:rPr>
              <w:t>stock options</w:t>
            </w:r>
          </w:p>
        </w:tc>
        <w:tc>
          <w:tcPr>
            <w:tcW w:w="4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7"/>
              <w:spacing w:after="0"/>
              <w:rPr>
                <w:sz w:val="20"/>
                <w:szCs w:val="20"/>
                <w:color w:val="auto"/>
              </w:rPr>
            </w:pPr>
            <w:r>
              <w:rPr>
                <w:rFonts w:ascii="Arial" w:cs="Arial" w:eastAsia="Arial" w:hAnsi="Arial"/>
                <w:sz w:val="15"/>
                <w:szCs w:val="15"/>
                <w:color w:val="auto"/>
              </w:rPr>
              <w:t>2,451,289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16,269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16,269</w:t>
            </w: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Issuance of common stock upon settlement of</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945,347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3180" w:type="dxa"/>
            <w:vAlign w:val="bottom"/>
          </w:tcPr>
          <w:p>
            <w:pPr>
              <w:ind w:left="20"/>
              <w:spacing w:after="0"/>
              <w:rPr>
                <w:sz w:val="20"/>
                <w:szCs w:val="20"/>
                <w:color w:val="auto"/>
              </w:rPr>
            </w:pPr>
            <w:r>
              <w:rPr>
                <w:rFonts w:ascii="Arial" w:cs="Arial" w:eastAsia="Arial" w:hAnsi="Arial"/>
                <w:sz w:val="15"/>
                <w:szCs w:val="15"/>
                <w:color w:val="auto"/>
              </w:rPr>
              <w:t>Vesting of early exercised stock options</w:t>
            </w:r>
          </w:p>
        </w:tc>
        <w:tc>
          <w:tcPr>
            <w:tcW w:w="4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38,386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38,386</w:t>
            </w:r>
          </w:p>
        </w:tc>
        <w:tc>
          <w:tcPr>
            <w:tcW w:w="0" w:type="dxa"/>
            <w:vAlign w:val="bottom"/>
          </w:tcPr>
          <w:p>
            <w:pPr>
              <w:spacing w:after="0"/>
              <w:rPr>
                <w:sz w:val="1"/>
                <w:szCs w:val="1"/>
                <w:color w:val="auto"/>
              </w:rPr>
            </w:pPr>
          </w:p>
        </w:tc>
      </w:tr>
      <w:tr>
        <w:trPr>
          <w:trHeight w:val="236"/>
        </w:trPr>
        <w:tc>
          <w:tcPr>
            <w:tcW w:w="3180" w:type="dxa"/>
            <w:vAlign w:val="bottom"/>
          </w:tcPr>
          <w:p>
            <w:pPr>
              <w:ind w:left="20"/>
              <w:spacing w:after="0"/>
              <w:rPr>
                <w:sz w:val="20"/>
                <w:szCs w:val="20"/>
                <w:color w:val="auto"/>
              </w:rPr>
            </w:pPr>
            <w:r>
              <w:rPr>
                <w:rFonts w:ascii="Arial" w:cs="Arial" w:eastAsia="Arial" w:hAnsi="Arial"/>
                <w:sz w:val="15"/>
                <w:szCs w:val="15"/>
                <w:b w:val="1"/>
                <w:bCs w:val="1"/>
                <w:color w:val="auto"/>
              </w:rPr>
              <w:t>Balance as of April 30, 2026</w:t>
            </w:r>
          </w:p>
        </w:tc>
        <w:tc>
          <w:tcPr>
            <w:tcW w:w="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252,571,413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3,281,120</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 (2,035,649)</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(8,857)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1,236,616</w:t>
            </w:r>
          </w:p>
        </w:tc>
        <w:tc>
          <w:tcPr>
            <w:tcW w:w="0" w:type="dxa"/>
            <w:vAlign w:val="bottom"/>
          </w:tcPr>
          <w:p>
            <w:pPr>
              <w:spacing w:after="0"/>
              <w:rPr>
                <w:sz w:val="1"/>
                <w:szCs w:val="1"/>
                <w:color w:val="auto"/>
              </w:rPr>
            </w:pPr>
          </w:p>
        </w:tc>
      </w:tr>
      <w:tr>
        <w:trPr>
          <w:trHeight w:val="493"/>
        </w:trPr>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84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Borders>
              <w:right w:val="single" w:sz="8" w:color="auto"/>
            </w:tcBorders>
            <w:gridSpan w:val="7"/>
          </w:tcPr>
          <w:p>
            <w:pPr>
              <w:jc w:val="center"/>
              <w:ind w:right="140"/>
              <w:spacing w:after="0" w:line="122" w:lineRule="exact"/>
              <w:rPr>
                <w:sz w:val="20"/>
                <w:szCs w:val="20"/>
                <w:color w:val="auto"/>
              </w:rPr>
            </w:pPr>
            <w:r>
              <w:rPr>
                <w:rFonts w:ascii="Arial" w:cs="Arial" w:eastAsia="Arial" w:hAnsi="Arial"/>
                <w:sz w:val="13"/>
                <w:szCs w:val="13"/>
                <w:b w:val="1"/>
                <w:bCs w:val="1"/>
                <w:color w:val="auto"/>
                <w:w w:val="96"/>
              </w:rPr>
              <w:t>Redeemable Convertible</w:t>
            </w:r>
          </w:p>
        </w:tc>
        <w:tc>
          <w:tcPr>
            <w:tcW w:w="60" w:type="dxa"/>
            <w:vAlign w:val="bottom"/>
          </w:tcPr>
          <w:p>
            <w:pPr>
              <w:spacing w:after="0"/>
              <w:rPr>
                <w:sz w:val="10"/>
                <w:szCs w:val="10"/>
                <w:color w:val="auto"/>
              </w:rPr>
            </w:pPr>
          </w:p>
        </w:tc>
        <w:tc>
          <w:tcPr>
            <w:tcW w:w="1860" w:type="dxa"/>
            <w:vAlign w:val="bottom"/>
            <w:gridSpan w:val="7"/>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9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other</w:t>
            </w:r>
          </w:p>
        </w:tc>
        <w:tc>
          <w:tcPr>
            <w:tcW w:w="9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tcBorders>
              <w:right w:val="single" w:sz="8" w:color="auto"/>
            </w:tcBorders>
            <w:gridSpan w:val="7"/>
          </w:tcPr>
          <w:p>
            <w:pPr>
              <w:jc w:val="center"/>
              <w:ind w:right="140"/>
              <w:spacing w:after="0"/>
              <w:rPr>
                <w:sz w:val="20"/>
                <w:szCs w:val="20"/>
                <w:color w:val="auto"/>
              </w:rPr>
            </w:pPr>
            <w:r>
              <w:rPr>
                <w:rFonts w:ascii="Arial" w:cs="Arial" w:eastAsia="Arial" w:hAnsi="Arial"/>
                <w:sz w:val="13"/>
                <w:szCs w:val="13"/>
                <w:b w:val="1"/>
                <w:bCs w:val="1"/>
                <w:color w:val="auto"/>
                <w:w w:val="97"/>
              </w:rPr>
              <w:t>Preferred Stock</w:t>
            </w:r>
          </w:p>
        </w:tc>
        <w:tc>
          <w:tcPr>
            <w:tcW w:w="60" w:type="dxa"/>
            <w:vAlign w:val="bottom"/>
          </w:tcPr>
          <w:p>
            <w:pPr>
              <w:spacing w:after="0"/>
              <w:rPr>
                <w:sz w:val="15"/>
                <w:szCs w:val="15"/>
                <w:color w:val="auto"/>
              </w:rPr>
            </w:pPr>
          </w:p>
        </w:tc>
        <w:tc>
          <w:tcPr>
            <w:tcW w:w="186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paid-in</w:t>
            </w:r>
          </w:p>
        </w:tc>
        <w:tc>
          <w:tcPr>
            <w:tcW w:w="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5"/>
                <w:szCs w:val="15"/>
                <w:color w:val="auto"/>
              </w:rPr>
            </w:pPr>
          </w:p>
        </w:tc>
        <w:tc>
          <w:tcPr>
            <w:tcW w:w="840" w:type="dxa"/>
            <w:vAlign w:val="bottom"/>
          </w:tcPr>
          <w:p>
            <w:pPr>
              <w:jc w:val="center"/>
              <w:ind w:right="67"/>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94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capital</w:t>
            </w:r>
          </w:p>
        </w:tc>
        <w:tc>
          <w:tcPr>
            <w:tcW w:w="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deficit</w:t>
            </w: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5"/>
                <w:szCs w:val="15"/>
                <w:color w:val="auto"/>
              </w:rPr>
            </w:pPr>
          </w:p>
        </w:tc>
        <w:tc>
          <w:tcPr>
            <w:tcW w:w="840" w:type="dxa"/>
            <w:vAlign w:val="bottom"/>
          </w:tcPr>
          <w:p>
            <w:pPr>
              <w:jc w:val="center"/>
              <w:ind w:right="67"/>
              <w:spacing w:after="0"/>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98"/>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January 31,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146,360,207</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1,301,121</w:t>
            </w:r>
          </w:p>
        </w:tc>
        <w:tc>
          <w:tcPr>
            <w:tcW w:w="180" w:type="dxa"/>
            <w:vAlign w:val="bottom"/>
            <w:tcBorders>
              <w:top w:val="single" w:sz="8" w:color="auto"/>
              <w:right w:val="single" w:sz="8" w:color="auto"/>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45,782,871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467,835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 (1,617,113)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(37,622)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(1,186,899)</w:t>
            </w:r>
          </w:p>
        </w:tc>
        <w:tc>
          <w:tcPr>
            <w:tcW w:w="0" w:type="dxa"/>
            <w:vAlign w:val="bottom"/>
          </w:tcPr>
          <w:p>
            <w:pPr>
              <w:spacing w:after="0"/>
              <w:rPr>
                <w:sz w:val="1"/>
                <w:szCs w:val="1"/>
                <w:color w:val="auto"/>
              </w:rPr>
            </w:pPr>
          </w:p>
        </w:tc>
      </w:tr>
      <w:tr>
        <w:trPr>
          <w:trHeight w:val="201"/>
        </w:trPr>
        <w:tc>
          <w:tcPr>
            <w:tcW w:w="3180" w:type="dxa"/>
            <w:vAlign w:val="bottom"/>
          </w:tcPr>
          <w:p>
            <w:pPr>
              <w:ind w:left="20"/>
              <w:spacing w:after="0"/>
              <w:rPr>
                <w:sz w:val="20"/>
                <w:szCs w:val="20"/>
                <w:color w:val="auto"/>
              </w:rPr>
            </w:pPr>
            <w:r>
              <w:rPr>
                <w:rFonts w:ascii="Arial" w:cs="Arial" w:eastAsia="Arial" w:hAnsi="Arial"/>
                <w:sz w:val="15"/>
                <w:szCs w:val="15"/>
                <w:color w:val="auto"/>
              </w:rPr>
              <w:t>Net loss</w:t>
            </w:r>
          </w:p>
        </w:tc>
        <w:tc>
          <w:tcPr>
            <w:tcW w:w="4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(61,257)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(61,257)</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net of tax</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26,035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26,035</w:t>
            </w:r>
          </w:p>
        </w:tc>
        <w:tc>
          <w:tcPr>
            <w:tcW w:w="0" w:type="dxa"/>
            <w:vAlign w:val="bottom"/>
          </w:tcPr>
          <w:p>
            <w:pPr>
              <w:spacing w:after="0"/>
              <w:rPr>
                <w:sz w:val="1"/>
                <w:szCs w:val="1"/>
                <w:color w:val="auto"/>
              </w:rPr>
            </w:pPr>
          </w:p>
        </w:tc>
      </w:tr>
      <w:tr>
        <w:trPr>
          <w:trHeight w:val="148"/>
        </w:trPr>
        <w:tc>
          <w:tcPr>
            <w:tcW w:w="3180" w:type="dxa"/>
            <w:vAlign w:val="bottom"/>
          </w:tcPr>
          <w:p>
            <w:pPr>
              <w:ind w:left="20"/>
              <w:spacing w:after="0" w:line="149" w:lineRule="exact"/>
              <w:rPr>
                <w:sz w:val="20"/>
                <w:szCs w:val="20"/>
                <w:color w:val="auto"/>
              </w:rPr>
            </w:pPr>
            <w:r>
              <w:rPr>
                <w:rFonts w:ascii="Arial" w:cs="Arial" w:eastAsia="Arial" w:hAnsi="Arial"/>
                <w:sz w:val="15"/>
                <w:szCs w:val="15"/>
                <w:color w:val="auto"/>
              </w:rPr>
              <w:t>Issuance of equity-classified warrants in</w:t>
            </w: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5"/>
                <w:szCs w:val="15"/>
                <w:color w:val="auto"/>
              </w:rPr>
              <w:t>connection with term loan</w:t>
            </w:r>
          </w:p>
        </w:tc>
        <w:tc>
          <w:tcPr>
            <w:tcW w:w="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11,007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11,007</w:t>
            </w:r>
          </w:p>
        </w:tc>
        <w:tc>
          <w:tcPr>
            <w:tcW w:w="0" w:type="dxa"/>
            <w:vAlign w:val="bottom"/>
          </w:tcPr>
          <w:p>
            <w:pPr>
              <w:spacing w:after="0"/>
              <w:rPr>
                <w:sz w:val="1"/>
                <w:szCs w:val="1"/>
                <w:color w:val="auto"/>
              </w:rPr>
            </w:pPr>
          </w:p>
        </w:tc>
      </w:tr>
      <w:tr>
        <w:trPr>
          <w:trHeight w:val="152"/>
        </w:trPr>
        <w:tc>
          <w:tcPr>
            <w:tcW w:w="318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Issuance of common stock upon exercise of</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187,013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1,820</w:t>
            </w:r>
          </w:p>
        </w:tc>
        <w:tc>
          <w:tcPr>
            <w:tcW w:w="0" w:type="dxa"/>
            <w:vAlign w:val="bottom"/>
          </w:tcPr>
          <w:p>
            <w:pPr>
              <w:spacing w:after="0"/>
              <w:rPr>
                <w:sz w:val="1"/>
                <w:szCs w:val="1"/>
                <w:color w:val="auto"/>
              </w:rPr>
            </w:pPr>
          </w:p>
        </w:tc>
      </w:tr>
      <w:tr>
        <w:trPr>
          <w:trHeight w:val="201"/>
        </w:trPr>
        <w:tc>
          <w:tcPr>
            <w:tcW w:w="3180" w:type="dxa"/>
            <w:vAlign w:val="bottom"/>
          </w:tcPr>
          <w:p>
            <w:pPr>
              <w:ind w:left="20"/>
              <w:spacing w:after="0"/>
              <w:rPr>
                <w:sz w:val="20"/>
                <w:szCs w:val="20"/>
                <w:color w:val="auto"/>
              </w:rPr>
            </w:pPr>
            <w:r>
              <w:rPr>
                <w:rFonts w:ascii="Arial" w:cs="Arial" w:eastAsia="Arial" w:hAnsi="Arial"/>
                <w:sz w:val="15"/>
                <w:szCs w:val="15"/>
                <w:color w:val="auto"/>
              </w:rPr>
              <w:t>Vesting of early exercised stock options</w:t>
            </w:r>
          </w:p>
        </w:tc>
        <w:tc>
          <w:tcPr>
            <w:tcW w:w="4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17,830</w:t>
            </w:r>
          </w:p>
        </w:tc>
        <w:tc>
          <w:tcPr>
            <w:tcW w:w="0" w:type="dxa"/>
            <w:vAlign w:val="bottom"/>
          </w:tcPr>
          <w:p>
            <w:pPr>
              <w:spacing w:after="0"/>
              <w:rPr>
                <w:sz w:val="1"/>
                <w:szCs w:val="1"/>
                <w:color w:val="auto"/>
              </w:rPr>
            </w:pPr>
          </w:p>
        </w:tc>
      </w:tr>
      <w:tr>
        <w:trPr>
          <w:trHeight w:val="236"/>
        </w:trPr>
        <w:tc>
          <w:tcPr>
            <w:tcW w:w="3180" w:type="dxa"/>
            <w:vAlign w:val="bottom"/>
          </w:tcPr>
          <w:p>
            <w:pPr>
              <w:ind w:left="20"/>
              <w:spacing w:after="0"/>
              <w:rPr>
                <w:sz w:val="20"/>
                <w:szCs w:val="20"/>
                <w:color w:val="auto"/>
              </w:rPr>
            </w:pPr>
            <w:r>
              <w:rPr>
                <w:rFonts w:ascii="Arial" w:cs="Arial" w:eastAsia="Arial" w:hAnsi="Arial"/>
                <w:sz w:val="15"/>
                <w:szCs w:val="15"/>
                <w:b w:val="1"/>
                <w:bCs w:val="1"/>
                <w:color w:val="auto"/>
              </w:rPr>
              <w:t>Balance as of April 30, 2025</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146,360,207</w:t>
            </w:r>
          </w:p>
        </w:tc>
        <w:tc>
          <w:tcPr>
            <w:tcW w:w="4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1,301,121</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45,969,884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498,779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8"/>
              </w:rPr>
              <w:t>$ (1,678,370)</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(11,587)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(1,191,177)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3" w:lineRule="exact"/>
        <w:rPr>
          <w:sz w:val="20"/>
          <w:szCs w:val="20"/>
          <w:color w:val="auto"/>
        </w:rPr>
      </w:pPr>
    </w:p>
    <w:p>
      <w:pPr>
        <w:ind w:left="340" w:hanging="332"/>
        <w:spacing w:after="0" w:line="245" w:lineRule="auto"/>
        <w:tabs>
          <w:tab w:leader="none" w:pos="332"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8 — Stockholders’ Equity for more information.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6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(61,257)</w:t>
            </w:r>
          </w:p>
        </w:tc>
      </w:tr>
      <w:tr>
        <w:trPr>
          <w:trHeight w:val="176"/>
        </w:trPr>
        <w:tc>
          <w:tcPr>
            <w:tcW w:w="76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net loss to net cash provided</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(used in) operating activities:</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Stock-based compensation, net of amounts capitalized</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17,260</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Amortization of contract acquisition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Loss on fair value adjustments</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10,136</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 expensed related to SAFEs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20,528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r>
      <w:tr>
        <w:trPr>
          <w:trHeight w:val="230"/>
        </w:trPr>
        <w:tc>
          <w:tcPr>
            <w:tcW w:w="764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(9,963)</w:t>
            </w:r>
          </w:p>
        </w:tc>
      </w:tr>
      <w:tr>
        <w:trPr>
          <w:trHeight w:val="230"/>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Contract acquisition costs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r>
      <w:tr>
        <w:trPr>
          <w:trHeight w:val="229"/>
        </w:trPr>
        <w:tc>
          <w:tcPr>
            <w:tcW w:w="7640" w:type="dxa"/>
            <w:vAlign w:val="bottom"/>
          </w:tcPr>
          <w:p>
            <w:pPr>
              <w:ind w:left="60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764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30"/>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29"/>
        </w:trPr>
        <w:tc>
          <w:tcPr>
            <w:tcW w:w="7640" w:type="dxa"/>
            <w:vAlign w:val="bottom"/>
          </w:tcPr>
          <w:p>
            <w:pPr>
              <w:ind w:left="600"/>
              <w:spacing w:after="0"/>
              <w:rPr>
                <w:sz w:val="20"/>
                <w:szCs w:val="20"/>
                <w:color w:val="auto"/>
              </w:rPr>
            </w:pPr>
            <w:r>
              <w:rPr>
                <w:rFonts w:ascii="Arial" w:cs="Arial" w:eastAsia="Arial" w:hAnsi="Arial"/>
                <w:sz w:val="18"/>
                <w:szCs w:val="18"/>
                <w:color w:val="auto"/>
              </w:rPr>
              <w:t>Operating lease right-of-use asset and operating lease liabilities,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3"/>
        </w:trPr>
        <w:tc>
          <w:tcPr>
            <w:tcW w:w="76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(3,927)</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Purchases of investments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investments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Change in corporate card receivables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3"/>
        </w:trPr>
        <w:tc>
          <w:tcPr>
            <w:tcW w:w="76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of debt</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174,945</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Proceeds from issuance of SAFEs</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155,000</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borrowings of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April 30,</w:t>
            </w:r>
          </w:p>
        </w:tc>
      </w:tr>
      <w:tr>
        <w:trPr>
          <w:trHeight w:val="195"/>
        </w:trPr>
        <w:tc>
          <w:tcPr>
            <w:tcW w:w="7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r>
      <w:tr>
        <w:trPr>
          <w:trHeight w:val="225"/>
        </w:trPr>
        <w:tc>
          <w:tcPr>
            <w:tcW w:w="7640" w:type="dxa"/>
            <w:vAlign w:val="bottom"/>
          </w:tcPr>
          <w:p>
            <w:pPr>
              <w:ind w:left="20"/>
              <w:spacing w:after="0"/>
              <w:rPr>
                <w:sz w:val="20"/>
                <w:szCs w:val="20"/>
                <w:color w:val="auto"/>
              </w:rPr>
            </w:pPr>
            <w:r>
              <w:rPr>
                <w:rFonts w:ascii="Arial" w:cs="Arial" w:eastAsia="Arial" w:hAnsi="Arial"/>
                <w:sz w:val="18"/>
                <w:szCs w:val="18"/>
                <w:color w:val="auto"/>
              </w:rPr>
              <w:t>Payments for debt issuance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(10,985)</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deferred offering costs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62,009</w:t>
            </w:r>
          </w:p>
        </w:tc>
      </w:tr>
      <w:tr>
        <w:trPr>
          <w:trHeight w:val="223"/>
        </w:trPr>
        <w:tc>
          <w:tcPr>
            <w:tcW w:w="76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r>
      <w:tr>
        <w:trPr>
          <w:trHeight w:val="230"/>
        </w:trPr>
        <w:tc>
          <w:tcPr>
            <w:tcW w:w="76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310,595</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379,092</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5,647</w:t>
            </w:r>
          </w:p>
        </w:tc>
      </w:tr>
      <w:tr>
        <w:trPr>
          <w:trHeight w:val="270"/>
        </w:trPr>
        <w:tc>
          <w:tcPr>
            <w:tcW w:w="7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9"/>
        </w:trPr>
        <w:tc>
          <w:tcPr>
            <w:tcW w:w="7640" w:type="dxa"/>
            <w:vAlign w:val="bottom"/>
          </w:tcPr>
          <w:p>
            <w:pPr>
              <w:ind w:left="360"/>
              <w:spacing w:after="0"/>
              <w:rPr>
                <w:sz w:val="20"/>
                <w:szCs w:val="20"/>
                <w:color w:val="auto"/>
              </w:rPr>
            </w:pPr>
            <w:r>
              <w:rPr>
                <w:rFonts w:ascii="Arial" w:cs="Arial" w:eastAsia="Arial" w:hAnsi="Arial"/>
                <w:sz w:val="18"/>
                <w:szCs w:val="18"/>
                <w:color w:val="auto"/>
              </w:rPr>
              <w:t>Capitalized stock-based compensation for internal-use software development costs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570</w:t>
            </w:r>
          </w:p>
        </w:tc>
      </w:tr>
    </w:tbl>
    <w:p>
      <w:pPr>
        <w:spacing w:after="0" w:line="230"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31, 2025, the Company completed its initial public offering (the “IPO”) in which the Company issued and sold 30,000,000 shares of its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The Company did not receive any proceeds from the sale of Class A common stock by the selling stockholders. The underwriters’ option to purchase an additional 5,538,660 shares of Class A common stock at the public offering price of $25.00 less underwriting discounts expired unexercised during the year ended January 31, 2026.</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IPO, the Company recognized a one-time cumulative stock-based compensation expense charge of $ 81.8 million associated with the satisfaction of the performance-based vesting condition for outstanding restricted stock units (“RSUs”) which was satisfied in connection with the IPO and for which the service-based vesting condition had also been satisfied as of that date, of which $0.9 million was capitalized related to software development. To meet the related tax withholding requirements for the net settlement of the vested RSUs, the Company withheld 709,106 shares underlying such equity awards, resulting in the net issuance of 934,353 shares of Class A common stock. Based on the IPO price of $25.00 per share, the Company’s related tax withholding obligation was $17.7 million, which was paid during the year ended January 31, 2026.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condensed consolidated financial statements have been prepared in accordance with generally accepted accounting principles in the United States (“GAAP”) and applicable rules and regulations of the Securities and Exchange Commission (the “SEC”)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audited consolidated financial statements and the related notes for the year ended January 31, 2026, included in our Annual Report on Form 10-K. The unaudited condensed consolidated financial statements include, in the opinion of management, all adjustments, consisting of normal and recurring items, necessary for the fair statement of the condensed consolidated financial statements for the periods presented.</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consolidate our wholly-owned subsidiaries and variable interest entities (“VIEs”) where we are deemed to be the primary beneficiary. See Note 7 — Variable Interest Entities for further details. All intercompany profits,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significant changes in accounting policies during the three months ended April 30, 2026 from those disclosed in the annual consolidated financial statements for the year ended January 31, 2026 and the related notes.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fiscal year ends on January 31. References made to “fiscal 2027” and “fiscal 2026” refer to the Company’s fiscal years ending January 31, 2027 and ended January 31, 2026,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prior period amounts within footnote disclosures have been reclassified to conform to the current period presentation. These reclassifications had no impact on our previously reported total current assets, total assets, total current liabilities, total liabilities, results of operations, comprehensive loss or net cash flows from operating, financing, or investing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our condensed consolidated financial statements in conformity with GAAP requires management to make estimates, judgments and assumptions that affect the reported amounts in the condensed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financial instruments; fair values of stock-based awards issued; the vested and unpaid rewards earned by users of our platform; variable consideration related to achieving specified contractual thresholds in our revenue generating arrangements with travel supply partners; the incremental borrowing rate used for operating lease liabilities; and assumptions used in accounting for income taxes. These estimates are inherently subject to judgment and actual results could differ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restricted cash, investments in marketable debt securities, and accounts receivable. The Company maintains its cash, cash equivalents, restricted cash, and marketable debt securities with high-quality financial institutions primarily in the United States, where the composition and maturities are regularly monitored by the Company. Deposits may exceed federally insured limits.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customers accounted for 10% or more of the Company’s revenue during the three months ended April 30, 2026. One payment partner customer accounted for 10% of the Company’s revenue during the three months ended April 30, 2025.</w:t>
      </w:r>
    </w:p>
    <w:p>
      <w:pPr>
        <w:spacing w:after="0" w:line="99" w:lineRule="exact"/>
        <w:rPr>
          <w:sz w:val="20"/>
          <w:szCs w:val="20"/>
          <w:color w:val="auto"/>
        </w:rPr>
      </w:pPr>
    </w:p>
    <w:p>
      <w:pPr>
        <w:ind w:right="240"/>
        <w:spacing w:after="0" w:line="438" w:lineRule="auto"/>
        <w:rPr>
          <w:sz w:val="20"/>
          <w:szCs w:val="20"/>
          <w:color w:val="auto"/>
        </w:rPr>
      </w:pPr>
      <w:r>
        <w:rPr>
          <w:rFonts w:ascii="Arial" w:cs="Arial" w:eastAsia="Arial" w:hAnsi="Arial"/>
          <w:sz w:val="18"/>
          <w:szCs w:val="18"/>
          <w:color w:val="auto"/>
        </w:rPr>
        <w:t xml:space="preserve">No customers accounted for 10% or more of accounts receivable or corporate card receivables as of April 30, 2026 and January 31, 2026.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Customers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Travel Supply and Payment Partner Fees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condensed consolidated statements of operations. Other segment items included in consolidated net loss include interest expense, other income, net, loss on extinguishment of debt, loss on fair value adjustments, and income tax expense, which are presented in the Company’s condensed consolidated statements of operations. 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and Contract Assets</w:t>
      </w:r>
      <w:r>
        <w:rPr>
          <w:rFonts w:ascii="Arial" w:cs="Arial" w:eastAsia="Arial" w:hAnsi="Arial"/>
          <w:sz w:val="18"/>
          <w:szCs w:val="18"/>
          <w:color w:val="auto"/>
        </w:rPr>
        <w:t>, which provides a practical expedient related to the estimation of expected credit losses for current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current 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The Company adopted ASU 2025-05 as of February 1, 2026 on a prospective basis with no material impact to its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entities to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for the Company for its fiscal year beginning February 1, 2026 on a prospective basis. Early adoption and retrospective application are permitted. The Company is currently evaluating the impact of this standard on its consolidated financial statement disclosures.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new guidance requires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income statement expense line items on an annual and interim basis. The standard is effective for the Company for its fiscal year beginning February 1, 2027 and interim periods within its fiscal year beginning February 1, 2028. The guidance may be applied on either a prospective or retrospective basis. Early adoption is permitted. The Company is currently evaluating the impact of this standard on its consolidated financial statement disclosures.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the Accounting for Internal-Use Software, </w:t>
      </w:r>
      <w:r>
        <w:rPr>
          <w:rFonts w:ascii="Arial" w:cs="Arial" w:eastAsia="Arial" w:hAnsi="Arial"/>
          <w:sz w:val="18"/>
          <w:szCs w:val="18"/>
          <w:color w:val="auto"/>
        </w:rPr>
        <w:t>to modernize the accounting for costs related to internal-use software to more</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align with current software development methods. The guidance removes references to project stages and clarifies when the Company is required to start capitalizing eligible costs. The guidance is effective for the Company for its fiscal year and all interim periods beginning February 1, 2028. Early adoption is permitted. The guidance may be applied prospectively, retrospectively, or via a modified prospective transition method. The Company is currently evaluating the impact of the adoption of this standard on its consolidated financial statements.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270)—Narrow-Scope Improvements,</w:t>
      </w:r>
      <w:r>
        <w:rPr>
          <w:rFonts w:ascii="Arial" w:cs="Arial" w:eastAsia="Arial" w:hAnsi="Arial"/>
          <w:sz w:val="18"/>
          <w:szCs w:val="18"/>
          <w:color w:val="auto"/>
        </w:rPr>
        <w:t xml:space="preserve"> which clarifies interim disclosure requirements and the applicability of Topic 270. The standard is effective for the Company for all interim periods within its fiscal year beginning February 1, 2028. The guidance may be applied on either a prospective or retrospective basis. Early adoption is permitted. The Company is currently evaluating the impact of this standard on its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7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Usage-based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143,149</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revenue</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157,461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Usage-based revenue primarily represents fees from our platform customers earned on a per-booking transaction basis and fees from our travel supply and payment partners, which are generally earned on a per-transaction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revenue by region based on the billing country of the customer where the revenue generating transaction originates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April 30,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41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416"/>
              <w:spacing w:after="0"/>
              <w:rPr>
                <w:sz w:val="20"/>
                <w:szCs w:val="20"/>
                <w:color w:val="auto"/>
              </w:rPr>
            </w:pPr>
            <w:r>
              <w:rPr>
                <w:rFonts w:ascii="Arial" w:cs="Arial" w:eastAsia="Arial" w:hAnsi="Arial"/>
                <w:sz w:val="14"/>
                <w:szCs w:val="14"/>
                <w:b w:val="1"/>
                <w:bCs w:val="1"/>
                <w:color w:val="auto"/>
              </w:rPr>
              <w:t>2025</w:t>
            </w:r>
          </w:p>
        </w:tc>
      </w:tr>
      <w:tr>
        <w:trPr>
          <w:trHeight w:val="196"/>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Revenue</w:t>
            </w:r>
          </w:p>
        </w:tc>
        <w:tc>
          <w:tcPr>
            <w:tcW w:w="300" w:type="dxa"/>
            <w:vAlign w:val="bottom"/>
          </w:tcPr>
          <w:p>
            <w:pPr>
              <w:spacing w:after="0"/>
              <w:rPr>
                <w:sz w:val="17"/>
                <w:szCs w:val="17"/>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37,667</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34,641</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 of World</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37,858</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220,231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157,461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 No individual country within Rest of World comprises more than 10% of total revenue.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Unbilled Receivables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$ 92.1 million and $72.3 million, respectively, as of April 30, 2026 and January 31, 2026. Unbilled accounts receivable is recorded within accounts receivable, net on the accompanying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is deferred when we have the right to invoice in advance of performance under a customer contract. The deferred revenue balance primarily consists of annual subscription payments, and is expected to be recognized within one year of the balance sheet date. During the three months ended April 30, 2026 and 2025, revenue recognized from the deferred revenue balance at the beginning of the respective period was $18.4 million and $16.5 million, respectively.</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multi-year subscription contracts were $67.1 million as of April 30, 2026 of which we expect to recognize approximately 54% as revenue over the next 12 months, 33% as revenue over the subsequent 13 to 24 months, and the remainder thereafter.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Expected Credit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are generally due within thirty days and are recorded net of an allowance for estimated uncollectible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expected credit losses for the three months ended April 30, 2026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7"/>
                <w:szCs w:val="17"/>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6,462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10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1,471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4,783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Card Receivables and Allowance for Expected Credit Losses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virtual and physical corporate credit cards to customers of our expense management offering through issuing bank partners. Under our payment partner arrangements, we are required to fund the dollar value of spend on these credit cards either by prefunding the spend, or funding the spend within one business day of the transaction settlement date. These transactions are accumulated on customer statements and are recognized as receivables, with payment generally due within ten days.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card receivables are recorded net of an allowance for expected credit losses, which includes an allowance for estimated uncollectible amounts and an estimate for charges our customers may dispute as invalid. The allowance for expected credit losses is based on our assessment of the collectability of these receivables.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corporate card receivables allowance for expected credit losses for the three months ended April 30, 2026 and 2025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7"/>
                <w:szCs w:val="17"/>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380</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9"/>
              </w:rPr>
              <w:t>814</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(351)</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843</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April 30, 2026 and 2025, we capitalized $6.4 million and $2.5 million, respectively, of contract acquisition costs and recognized related amortization expense of $2.4 million and $1.2 million, respectively. Amortization expense is included in sales and marketing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AND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cash equivalents and investments on the consolidated balance sheets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rPr>
              <w:t>As of April 30, 2026</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Gross Unrealized</w:t>
            </w:r>
          </w:p>
        </w:tc>
        <w:tc>
          <w:tcPr>
            <w:tcW w:w="140" w:type="dxa"/>
            <w:vAlign w:val="bottom"/>
          </w:tcPr>
          <w:p>
            <w:pPr>
              <w:spacing w:after="0"/>
              <w:rPr>
                <w:sz w:val="12"/>
                <w:szCs w:val="12"/>
                <w:color w:val="auto"/>
              </w:rPr>
            </w:pPr>
          </w:p>
        </w:tc>
        <w:tc>
          <w:tcPr>
            <w:tcW w:w="15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27,600</w:t>
            </w:r>
          </w:p>
        </w:tc>
        <w:tc>
          <w:tcPr>
            <w:tcW w:w="8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27,600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34,706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34,706</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67,784</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67,784</w:t>
            </w: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98,641</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15,836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47,722</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162,393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162,199</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equivalents and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230,177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229,983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rPr>
              <w:t>As of January 31, 2026</w:t>
            </w: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Gross Unrealized</w:t>
            </w:r>
          </w:p>
        </w:tc>
        <w:tc>
          <w:tcPr>
            <w:tcW w:w="140" w:type="dxa"/>
            <w:vAlign w:val="bottom"/>
          </w:tcPr>
          <w:p>
            <w:pPr>
              <w:spacing w:after="0"/>
              <w:rPr>
                <w:sz w:val="12"/>
                <w:szCs w:val="12"/>
                <w:color w:val="auto"/>
              </w:rPr>
            </w:pPr>
          </w:p>
        </w:tc>
        <w:tc>
          <w:tcPr>
            <w:tcW w:w="15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129,893</w:t>
            </w:r>
          </w:p>
        </w:tc>
        <w:tc>
          <w:tcPr>
            <w:tcW w:w="8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129,893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40,758</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170,651</w:t>
            </w:r>
          </w:p>
        </w:tc>
        <w:tc>
          <w:tcPr>
            <w:tcW w:w="8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170,651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103,458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103,496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24,087</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156,994</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Total cash equivalents and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327,583</w:t>
            </w:r>
          </w:p>
        </w:tc>
        <w:tc>
          <w:tcPr>
            <w:tcW w:w="8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investments consist of available-for-sale debt securities. The Company considers debt securities as available for use in current operations, including those with maturity dates beyond one year, and therefore classifies these securities as short-term investments on the condensed consolidated balance sheets. The Company included $0.9 million and $0.8 million of interest receivable within prepaid expenses and other current assets on the condensed consolidated balance sheets as of April 30, 2026 and January 31, 2026, respectively.</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unrealized losses on the Company’s available-for-sale debt securities were not material as of April 30, 2026 and January 31, 2026. For investments with unrealized loss positions, the Company does not intend to sell these securities and it is more likely than not that the Company will hold these securities until maturity or a recovery of the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April 30, 2026, there was no allowance for credit losses related to our available-for-sale debt securities. As of April 30, 2026, the weighted-average remaining maturity of our available-for-sale debt securities was less than one year, and the contractual maturities of our available-for-sale debt securities did not exceed 24 months.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fair value hierarchy for the Company’s assets measured at fair value on a recurring basis based on the three-tier fair value hierarchy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As of April 30, 2026</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24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5,478</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34,706</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98,641</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15,836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15,836</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47,722</w:t>
            </w: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202,383</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229,983</w:t>
            </w:r>
          </w:p>
        </w:tc>
      </w:tr>
      <w:tr>
        <w:trPr>
          <w:trHeight w:val="20"/>
        </w:trPr>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78"/>
        </w:trPr>
        <w:tc>
          <w:tcPr>
            <w:tcW w:w="4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As of January 31, 2026</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4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24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129,893</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40,758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40,758</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103,496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103,496</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24,087</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29,411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29,411</w:t>
            </w:r>
          </w:p>
        </w:tc>
      </w:tr>
      <w:tr>
        <w:trPr>
          <w:trHeight w:val="248"/>
        </w:trPr>
        <w:tc>
          <w:tcPr>
            <w:tcW w:w="4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327,645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2026, and January 31, 2026, no financial liabilities were measured at fair value on a recurring basis.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transfers between Level 1, Level 2 or Level 3 fair value hierarchy categories of financial instruments during the three months ended April 30, 2026 or the year ended January 31,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the fair value of its cash equivalents and short-term investments based on pricing from the Company’s service providers and market prices from industry-standard independent data providers. Such market prices may be quoted prices in active markets for identical assets (Level 1 inputs) or pricing determined using inputs other than quoted prices that are observable either directly or indirectly (Level 2 inputs), such as yield curves, volatility factors, credit spreads, default rates, broker and dealer quotes, as well as other relevant economic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fair value of other financial instruments that are not recognized at fair value on the balance sheet are presented below for disclosure purposes only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600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 Value Hierarchy</w:t>
            </w:r>
          </w:p>
        </w:tc>
        <w:tc>
          <w:tcPr>
            <w:tcW w:w="26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2026</w:t>
            </w:r>
          </w:p>
        </w:tc>
        <w:tc>
          <w:tcPr>
            <w:tcW w:w="220" w:type="dxa"/>
            <w:vAlign w:val="bottom"/>
          </w:tcPr>
          <w:p>
            <w:pPr>
              <w:spacing w:after="0"/>
              <w:rPr>
                <w:sz w:val="17"/>
                <w:szCs w:val="17"/>
                <w:color w:val="auto"/>
              </w:rPr>
            </w:pPr>
          </w:p>
        </w:tc>
        <w:tc>
          <w:tcPr>
            <w:tcW w:w="1520" w:type="dxa"/>
            <w:vAlign w:val="bottom"/>
          </w:tcPr>
          <w:p>
            <w:pPr>
              <w:jc w:val="right"/>
              <w:ind w:right="213"/>
              <w:spacing w:after="0"/>
              <w:rPr>
                <w:sz w:val="20"/>
                <w:szCs w:val="20"/>
                <w:color w:val="auto"/>
              </w:rPr>
            </w:pPr>
            <w:r>
              <w:rPr>
                <w:rFonts w:ascii="Arial" w:cs="Arial" w:eastAsia="Arial" w:hAnsi="Arial"/>
                <w:sz w:val="14"/>
                <w:szCs w:val="14"/>
                <w:b w:val="1"/>
                <w:bCs w:val="1"/>
                <w:color w:val="auto"/>
              </w:rPr>
              <w:t>January 31, 2026</w:t>
            </w:r>
          </w:p>
        </w:tc>
        <w:tc>
          <w:tcPr>
            <w:tcW w:w="20" w:type="dxa"/>
            <w:vAlign w:val="bottom"/>
          </w:tcPr>
          <w:p>
            <w:pPr>
              <w:spacing w:after="0"/>
              <w:rPr>
                <w:sz w:val="17"/>
                <w:szCs w:val="17"/>
                <w:color w:val="auto"/>
              </w:rPr>
            </w:pPr>
          </w:p>
        </w:tc>
      </w:tr>
      <w:tr>
        <w:trPr>
          <w:trHeight w:val="224"/>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122,464</w:t>
            </w:r>
          </w:p>
        </w:tc>
        <w:tc>
          <w:tcPr>
            <w:tcW w:w="20" w:type="dxa"/>
            <w:vAlign w:val="bottom"/>
          </w:tcPr>
          <w:p>
            <w:pPr>
              <w:spacing w:after="0"/>
              <w:rPr>
                <w:sz w:val="19"/>
                <w:szCs w:val="19"/>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Level 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r>
      <w:tr>
        <w:trPr>
          <w:trHeight w:val="484"/>
        </w:trPr>
        <w:tc>
          <w:tcPr>
            <w:tcW w:w="6000" w:type="dxa"/>
            <w:vAlign w:val="bottom"/>
          </w:tcPr>
          <w:p>
            <w:pPr>
              <w:spacing w:after="0"/>
              <w:rPr>
                <w:sz w:val="20"/>
                <w:szCs w:val="20"/>
                <w:color w:val="auto"/>
              </w:rPr>
            </w:pPr>
            <w:r>
              <w:rPr>
                <w:rFonts w:ascii="Arial" w:cs="Arial" w:eastAsia="Arial" w:hAnsi="Arial"/>
                <w:sz w:val="18"/>
                <w:szCs w:val="18"/>
                <w:b w:val="1"/>
                <w:bCs w:val="1"/>
                <w:color w:val="auto"/>
              </w:rPr>
              <w:t>NOTE 4 - SUPPLEMENTAL FINANCIAL STATEMENT INFORMATION</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7660" w:type="dxa"/>
            <w:vAlign w:val="bottom"/>
            <w:gridSpan w:val="3"/>
          </w:tcPr>
          <w:p>
            <w:pPr>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6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242424"/>
            </w:tcBorders>
          </w:tcPr>
          <w:p>
            <w:pPr>
              <w:spacing w:after="0"/>
              <w:rPr>
                <w:sz w:val="24"/>
                <w:szCs w:val="24"/>
                <w:color w:val="auto"/>
              </w:rPr>
            </w:pPr>
          </w:p>
        </w:tc>
        <w:tc>
          <w:tcPr>
            <w:tcW w:w="180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242424"/>
            </w:tcBorders>
          </w:tcPr>
          <w:p>
            <w:pPr>
              <w:spacing w:after="0"/>
              <w:rPr>
                <w:sz w:val="24"/>
                <w:szCs w:val="24"/>
                <w:color w:val="auto"/>
              </w:rPr>
            </w:pPr>
          </w:p>
        </w:tc>
        <w:tc>
          <w:tcPr>
            <w:tcW w:w="20" w:type="dxa"/>
            <w:vAlign w:val="bottom"/>
            <w:tcBorders>
              <w:bottom w:val="single" w:sz="8" w:color="242424"/>
            </w:tcBorders>
          </w:tcPr>
          <w:p>
            <w:pPr>
              <w:spacing w:after="0"/>
              <w:rPr>
                <w:sz w:val="24"/>
                <w:szCs w:val="24"/>
                <w:color w:val="auto"/>
              </w:rPr>
            </w:pPr>
          </w:p>
        </w:tc>
      </w:tr>
      <w:tr>
        <w:trPr>
          <w:trHeight w:val="196"/>
        </w:trPr>
        <w:tc>
          <w:tcPr>
            <w:tcW w:w="6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2026</w:t>
            </w:r>
          </w:p>
        </w:tc>
        <w:tc>
          <w:tcPr>
            <w:tcW w:w="220" w:type="dxa"/>
            <w:vAlign w:val="bottom"/>
          </w:tcPr>
          <w:p>
            <w:pPr>
              <w:spacing w:after="0"/>
              <w:rPr>
                <w:sz w:val="17"/>
                <w:szCs w:val="17"/>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31, 2026</w:t>
            </w:r>
          </w:p>
        </w:tc>
        <w:tc>
          <w:tcPr>
            <w:tcW w:w="20" w:type="dxa"/>
            <w:vAlign w:val="bottom"/>
          </w:tcPr>
          <w:p>
            <w:pPr>
              <w:spacing w:after="0"/>
              <w:rPr>
                <w:sz w:val="17"/>
                <w:szCs w:val="17"/>
                <w:color w:val="auto"/>
              </w:rPr>
            </w:pPr>
          </w:p>
        </w:tc>
      </w:tr>
      <w:tr>
        <w:trPr>
          <w:trHeight w:val="224"/>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46,126</w:t>
            </w:r>
          </w:p>
        </w:tc>
        <w:tc>
          <w:tcPr>
            <w:tcW w:w="20" w:type="dxa"/>
            <w:vAlign w:val="bottom"/>
            <w:tcBorders>
              <w:top w:val="single" w:sz="8" w:color="auto"/>
            </w:tcBorders>
          </w:tcPr>
          <w:p>
            <w:pPr>
              <w:spacing w:after="0"/>
              <w:rPr>
                <w:sz w:val="19"/>
                <w:szCs w:val="19"/>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6,868</w:t>
            </w:r>
          </w:p>
        </w:tc>
        <w:tc>
          <w:tcPr>
            <w:tcW w:w="2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fittings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Pr>
          <w:p>
            <w:pPr>
              <w:spacing w:after="0"/>
              <w:rPr>
                <w:sz w:val="19"/>
                <w:szCs w:val="19"/>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2,691</w:t>
            </w:r>
          </w:p>
        </w:tc>
        <w:tc>
          <w:tcPr>
            <w:tcW w:w="2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20" w:type="dxa"/>
            <w:vAlign w:val="bottom"/>
          </w:tcPr>
          <w:p>
            <w:pPr>
              <w:spacing w:after="0"/>
              <w:rPr>
                <w:sz w:val="19"/>
                <w:szCs w:val="19"/>
                <w:color w:val="auto"/>
              </w:rPr>
            </w:pPr>
          </w:p>
        </w:tc>
      </w:tr>
      <w:tr>
        <w:trPr>
          <w:trHeight w:val="223"/>
        </w:trPr>
        <w:tc>
          <w:tcPr>
            <w:tcW w:w="6000" w:type="dxa"/>
            <w:vAlign w:val="bottom"/>
          </w:tcPr>
          <w:p>
            <w:pPr>
              <w:ind w:left="240"/>
              <w:spacing w:after="0"/>
              <w:rPr>
                <w:sz w:val="20"/>
                <w:szCs w:val="20"/>
                <w:color w:val="auto"/>
              </w:rPr>
            </w:pPr>
            <w:r>
              <w:rPr>
                <w:rFonts w:ascii="Arial" w:cs="Arial" w:eastAsia="Arial" w:hAnsi="Arial"/>
                <w:sz w:val="18"/>
                <w:szCs w:val="18"/>
                <w:color w:val="auto"/>
              </w:rPr>
              <w:t>Property, equipment and software, gross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65,459</w:t>
            </w:r>
          </w:p>
        </w:tc>
        <w:tc>
          <w:tcPr>
            <w:tcW w:w="2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(30,431)</w:t>
            </w:r>
          </w:p>
        </w:tc>
        <w:tc>
          <w:tcPr>
            <w:tcW w:w="20" w:type="dxa"/>
            <w:vAlign w:val="bottom"/>
          </w:tcPr>
          <w:p>
            <w:pPr>
              <w:spacing w:after="0"/>
              <w:rPr>
                <w:sz w:val="19"/>
                <w:szCs w:val="19"/>
                <w:color w:val="auto"/>
              </w:rPr>
            </w:pPr>
          </w:p>
        </w:tc>
      </w:tr>
      <w:tr>
        <w:trPr>
          <w:trHeight w:val="223"/>
        </w:trPr>
        <w:tc>
          <w:tcPr>
            <w:tcW w:w="600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35,028</w:t>
            </w:r>
          </w:p>
        </w:tc>
        <w:tc>
          <w:tcPr>
            <w:tcW w:w="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-1362075</wp:posOffset>
            </wp:positionV>
            <wp:extent cx="825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-1362075</wp:posOffset>
            </wp:positionV>
            <wp:extent cx="825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 Construction in progress consists of leasehold improvements and capitalized software development costs that have not been placed into service.</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three months ended April 30, 2026 and 2025, depreciation and amortization expense related to property, equipment and software was $5.0 million and $4.6 million, respectively. Included in these amounts was amortization expense for capitalized internal-use software costs of approximately $4.3 million and $3.6 million, respectively, for the three months ended April 30, 2026 and 2025.</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impairment losses of long-lived assets, including property, equipment and software, and operating lease right-of-use (“ROU”) assets, were recognized during the three months ended April 30, 2026 and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Net</w:t>
      </w:r>
    </w:p>
    <w:p>
      <w:pPr>
        <w:spacing w:after="0" w:line="169"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following table presents long-lived assets, which includes property, equipment and software, net of depreciation and amortization, and operating lease ROU assets, by geographic region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2026</w:t>
            </w:r>
          </w:p>
        </w:tc>
        <w:tc>
          <w:tcPr>
            <w:tcW w:w="200" w:type="dxa"/>
            <w:vAlign w:val="bottom"/>
          </w:tcPr>
          <w:p>
            <w:pPr>
              <w:spacing w:after="0"/>
              <w:rPr>
                <w:sz w:val="17"/>
                <w:szCs w:val="17"/>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rPr>
              <w:t>January 31, 2026</w:t>
            </w:r>
          </w:p>
        </w:tc>
      </w:tr>
      <w:tr>
        <w:trPr>
          <w:trHeight w:val="224"/>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59,470</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30"/>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 other countries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r>
      <w:tr>
        <w:trPr>
          <w:trHeight w:val="223"/>
        </w:trPr>
        <w:tc>
          <w:tcPr>
            <w:tcW w:w="7700" w:type="dxa"/>
            <w:vAlign w:val="bottom"/>
          </w:tcPr>
          <w:p>
            <w:pPr>
              <w:ind w:left="240"/>
              <w:spacing w:after="0"/>
              <w:rPr>
                <w:sz w:val="20"/>
                <w:szCs w:val="20"/>
                <w:color w:val="auto"/>
              </w:rPr>
            </w:pPr>
            <w:r>
              <w:rPr>
                <w:rFonts w:ascii="Arial" w:cs="Arial" w:eastAsia="Arial" w:hAnsi="Arial"/>
                <w:sz w:val="18"/>
                <w:szCs w:val="18"/>
                <w:color w:val="auto"/>
              </w:rPr>
              <w:t>Total long-lived assets,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78,458</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No individual country within All other countries comprises more than 10% of Total long-lived assets, net.</w:t>
      </w:r>
    </w:p>
    <w:p>
      <w:pPr>
        <w:sectPr>
          <w:pgSz w:w="11900" w:h="16838" w:orient="portrait"/>
          <w:cols w:equalWidth="0" w:num="1">
            <w:col w:w="11260"/>
          </w:cols>
          <w:pgMar w:left="320" w:top="2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00" w:type="dxa"/>
            <w:vAlign w:val="bottom"/>
          </w:tcPr>
          <w:p>
            <w:pPr>
              <w:spacing w:after="0"/>
              <w:rPr>
                <w:sz w:val="17"/>
                <w:szCs w:val="17"/>
                <w:color w:val="auto"/>
              </w:rPr>
            </w:pPr>
          </w:p>
        </w:tc>
        <w:tc>
          <w:tcPr>
            <w:tcW w:w="260" w:type="dxa"/>
            <w:vAlign w:val="bottom"/>
            <w:tcBorders>
              <w:bottom w:val="single" w:sz="8" w:color="242424"/>
            </w:tcBorders>
          </w:tcPr>
          <w:p>
            <w:pPr>
              <w:spacing w:after="0"/>
              <w:rPr>
                <w:sz w:val="17"/>
                <w:szCs w:val="17"/>
                <w:color w:val="auto"/>
              </w:rPr>
            </w:pPr>
          </w:p>
        </w:tc>
        <w:tc>
          <w:tcPr>
            <w:tcW w:w="172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242424"/>
            </w:tcBorders>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2026</w:t>
            </w:r>
          </w:p>
        </w:tc>
        <w:tc>
          <w:tcPr>
            <w:tcW w:w="200" w:type="dxa"/>
            <w:vAlign w:val="bottom"/>
          </w:tcPr>
          <w:p>
            <w:pPr>
              <w:spacing w:after="0"/>
              <w:rPr>
                <w:sz w:val="17"/>
                <w:szCs w:val="17"/>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rPr>
              <w:t>January 31, 2026</w:t>
            </w:r>
          </w:p>
        </w:tc>
      </w:tr>
      <w:tr>
        <w:trPr>
          <w:trHeight w:val="224"/>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45,119</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25,842</w:t>
            </w: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due to travel suppliers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77,290</w:t>
            </w:r>
          </w:p>
        </w:tc>
      </w:tr>
      <w:tr>
        <w:trPr>
          <w:trHeight w:val="229"/>
        </w:trPr>
        <w:tc>
          <w:tcPr>
            <w:tcW w:w="7700" w:type="dxa"/>
            <w:vAlign w:val="bottom"/>
          </w:tcPr>
          <w:p>
            <w:pPr>
              <w:ind w:left="20"/>
              <w:spacing w:after="0" w:line="230" w:lineRule="exact"/>
              <w:rPr>
                <w:sz w:val="20"/>
                <w:szCs w:val="20"/>
                <w:color w:val="auto"/>
              </w:rPr>
            </w:pPr>
            <w:r>
              <w:rPr>
                <w:rFonts w:ascii="Arial" w:cs="Arial" w:eastAsia="Arial" w:hAnsi="Arial"/>
                <w:sz w:val="18"/>
                <w:szCs w:val="18"/>
                <w:color w:val="auto"/>
              </w:rPr>
              <w:t>Reward liability</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12,337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 and collateral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26,357</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Indirect tax payable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6,404</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r>
      <w:tr>
        <w:trPr>
          <w:trHeight w:val="248"/>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40" w:hanging="332"/>
        <w:spacing w:after="0" w:line="252"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balance represents the timing difference of when the Company charges customers for certain travel booking transactions, and when the balance is remitted to travel suppliers or needs to be refunded.</w:t>
      </w:r>
    </w:p>
    <w:p>
      <w:pPr>
        <w:spacing w:after="0" w:line="1" w:lineRule="exact"/>
        <w:rPr>
          <w:rFonts w:ascii="Arial" w:cs="Arial" w:eastAsia="Arial" w:hAnsi="Arial"/>
          <w:sz w:val="16"/>
          <w:szCs w:val="16"/>
          <w:color w:val="auto"/>
        </w:rPr>
      </w:pPr>
    </w:p>
    <w:p>
      <w:pPr>
        <w:ind w:left="340" w:right="20" w:hanging="332"/>
        <w:spacing w:after="0" w:line="270"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balance represents both (i) Navan-funded rewards, which includes the value of earned rewards we expect to be redeemed by users prior to expiration, and (ii) customer funded rewards, which are payments made by our platform customers to fund future redemptions by their employees.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net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460" w:type="dxa"/>
            <w:vAlign w:val="bottom"/>
            <w:tcBorders>
              <w:bottom w:val="single" w:sz="8" w:color="auto"/>
            </w:tcBorders>
            <w:gridSpan w:val="6"/>
          </w:tcPr>
          <w:p>
            <w:pPr>
              <w:jc w:val="right"/>
              <w:ind w:right="634"/>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 (losses), net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 issuance costs expensed</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GOODWILL AND OTHER INTANGIBLE ASSETS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7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presents the changes in the carrying value of the goodwill balance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7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2026</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241,309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impact</w:t>
            </w:r>
          </w:p>
        </w:tc>
        <w:tc>
          <w:tcPr>
            <w:tcW w:w="10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2026</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237,534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of goodwill recognized during the three months ended April 30, 2026 and 2025.</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 except years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As of April 30, 2026</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6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6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Life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11.6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6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As of January 31, 2026</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680" w:type="dxa"/>
            <w:vAlign w:val="bottom"/>
          </w:tcPr>
          <w:p>
            <w:pPr>
              <w:spacing w:after="0"/>
              <w:rPr>
                <w:sz w:val="12"/>
                <w:szCs w:val="12"/>
                <w:color w:val="auto"/>
              </w:rPr>
            </w:pPr>
          </w:p>
        </w:tc>
        <w:tc>
          <w:tcPr>
            <w:tcW w:w="16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 Life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11.8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April 30, 2026 and 2025, amortization expense related to intangible assets of $0.7 million and $1.2 million, respectively, was recorded in sales and marketing expense and during the three months ended April 30, 2025, amortization expense of $0.1 million was recorded in cost of revenue within the condensed consolidated statements of operations. No amortization expense related to intangible assets was recorded in cost of revenue within the condensed consolidated statement of operation during the three months ended April 30, 2026.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expenses related to intangible assets as of April 30, 2026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7"/>
                <w:szCs w:val="17"/>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r>
      <w:tr>
        <w:trPr>
          <w:trHeight w:val="224"/>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2,498</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2,401</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29"/>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w:t>
            </w:r>
          </w:p>
        </w:tc>
      </w:tr>
      <w:tr>
        <w:trPr>
          <w:trHeight w:val="248"/>
        </w:trPr>
        <w:tc>
          <w:tcPr>
            <w:tcW w:w="9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of intangible assets recognized during the three months ended April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debt outstanding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00" w:type="dxa"/>
            <w:vAlign w:val="bottom"/>
          </w:tcPr>
          <w:p>
            <w:pPr>
              <w:spacing w:after="0"/>
              <w:rPr>
                <w:sz w:val="17"/>
                <w:szCs w:val="17"/>
                <w:color w:val="auto"/>
              </w:rPr>
            </w:pPr>
          </w:p>
        </w:tc>
        <w:tc>
          <w:tcPr>
            <w:tcW w:w="260" w:type="dxa"/>
            <w:vAlign w:val="bottom"/>
            <w:tcBorders>
              <w:bottom w:val="single" w:sz="8" w:color="242424"/>
            </w:tcBorders>
          </w:tcPr>
          <w:p>
            <w:pPr>
              <w:spacing w:after="0"/>
              <w:rPr>
                <w:sz w:val="17"/>
                <w:szCs w:val="17"/>
                <w:color w:val="auto"/>
              </w:rPr>
            </w:pPr>
          </w:p>
        </w:tc>
        <w:tc>
          <w:tcPr>
            <w:tcW w:w="172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242424"/>
            </w:tcBorders>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2026</w:t>
            </w:r>
          </w:p>
        </w:tc>
        <w:tc>
          <w:tcPr>
            <w:tcW w:w="200" w:type="dxa"/>
            <w:vAlign w:val="bottom"/>
          </w:tcPr>
          <w:p>
            <w:pPr>
              <w:spacing w:after="0"/>
              <w:rPr>
                <w:sz w:val="17"/>
                <w:szCs w:val="17"/>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rPr>
              <w:t>January 31, 2026</w:t>
            </w:r>
          </w:p>
        </w:tc>
      </w:tr>
      <w:tr>
        <w:trPr>
          <w:trHeight w:val="224"/>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118,174</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principal amount of debt and borrowings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124,795</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 and issuance costs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Plus: accrued interest</w:t>
            </w:r>
          </w:p>
        </w:tc>
        <w:tc>
          <w:tcPr>
            <w:tcW w:w="2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 of debt and borrowings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124,795</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 of the committed amount. Any unused portion of the Warehouse Credit Facility will bear interest at 0.5% per annum. The Warehouse Credit Facility was established to finance the Company’s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Warehouse Credit Facility has been amended multiple times over the term to change the borrowing capacity and maturity date. As of April 30, 2026, the term of the Warehouse Credit Facility extends through February 18, 2028, the minimum utilization is 40% of the committed amount, and the borrowing capacity is $250.0 million.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At inception of the Warehouse Credit Facility, and as of April 30, 2026 and January 31, 2026, the fair value of the embedded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liabilities was determined to be immaterial.</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incurred upfront commitment fees of $2.0 million for the Warehouse Credit Facility when the agreement was executed, an incremental $1.4 million upon the execution of various amendments in the year ended January 31, 2025, and an incremental $ 2.8 million upon the extension of the Warehouse Credit Facility during the year ended January 31, 2026. These upfront commitment fees were recorded as a deferred cost asset on the balance sheet and are amortized on a straight-line basis as incremental interest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Borrowings and repayments under the Warehouse Credit Facility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7"/>
                <w:szCs w:val="17"/>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78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16,100</w:t>
            </w:r>
          </w:p>
        </w:tc>
      </w:tr>
      <w:tr>
        <w:trPr>
          <w:trHeight w:val="710"/>
        </w:trPr>
        <w:tc>
          <w:tcPr>
            <w:tcW w:w="7780" w:type="dxa"/>
            <w:vAlign w:val="bottom"/>
          </w:tcPr>
          <w:p>
            <w:pPr>
              <w:spacing w:after="0"/>
              <w:rPr>
                <w:sz w:val="20"/>
                <w:szCs w:val="20"/>
                <w:color w:val="auto"/>
              </w:rPr>
            </w:pPr>
            <w:r>
              <w:rPr>
                <w:rFonts w:ascii="Arial" w:cs="Arial" w:eastAsia="Arial" w:hAnsi="Arial"/>
                <w:sz w:val="18"/>
                <w:szCs w:val="18"/>
                <w:color w:val="auto"/>
              </w:rPr>
              <w:t>Interest expense related to the Warehouse Credit Facility was as follows (in thousands):</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6"/>
        </w:trPr>
        <w:tc>
          <w:tcPr>
            <w:tcW w:w="7780" w:type="dxa"/>
            <w:vAlign w:val="bottom"/>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24"/>
                <w:szCs w:val="24"/>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 and payable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Warehouse Credit Facility contains certain affirmative or negative covenants, including maintaining certain levels of minimum liquidity, maximum leverage, and minimum tangible net worth. As of April 30, 2026 and January 31, 2026, we remain in compliance with the covenants of the loan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2025, the Company entered into an asset-based lending revolving line of credit (the “ABL Facility”) with Citibank, N.A. (“Citibank”), as an agent for the lenders, which matures in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ABL Facility contains certain affirmative or negative covenants including, among other things, restrictions on repurchases of stock, dividends, and other distributions. As of April 30, 2026, we were in compliance with all covenants.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ABL Facility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7"/>
                <w:szCs w:val="17"/>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 and payable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principal payments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of principal associated with other notes payable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7"/>
                <w:szCs w:val="17"/>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6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debt outstanding</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Less: Notes payable, current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60" w:type="dxa"/>
            <w:vAlign w:val="bottom"/>
            <w:tcBorders>
              <w:bottom w:val="single" w:sz="8" w:color="CCEEFF"/>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payable, non-current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 -annually.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IPO, the convertible notes automatically converted into 12,827,963 shares of Class A common stock at a 35% discount to the IPO price. The Company recognized an $84.1 million loss on the debt extinguishment within the condensed consolidated statements of operations during the year ended January 31, 2026.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January 31, 2026, we entered into SAFEs with multiple investors in exchange for cash proceeds of $155.0 million, with an interest rate of 12% per annum. We issued common stock warrants to investors together with the SAFEs. In connection with the issuance of the SAFEs and common stock warrants, we incurred debt issuance costs of $2.9 million which were expensed when incurred and are presented within other income, net in the accompanying condensed consolidated statements of operations during the three months ended April 30, 2025.</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the IPO, the SAFEs automatically converted into 7,851,008 shares of our Class A common stock at a 15% discount to the IPO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Facility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condensed consolidated balance sheets as additional paid-in capital.</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IPO, we paid $133.7 million to settle the Vista Facility and recognized a $13.3 million loss on the debt extinguishment. We did not incur a prepayment penalty under the terms of the facility because we prepaid the Vista Facility in connection with a qualified IPO. The loss on extinguishment of debt was recognized within the condensed consolidated statements of operations during the year ended January 31, 2026. We were in compliance with all affirmative or negative covenants as of the settlement date. The common stock warrants issued in connection with the Vista Facility were net exercised for 486,005 shares of Class A common stock in connection with the IPO.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Promissory Note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2022, the Company issued a promissory note (the “2022 Promissory Note”) to a lender for $150.0 million with a maturity date of September 26, 2025. In conjunction with the 2022 Promissory Note, we issued 599,280 common stock warrants. Interest accrued on the principal amount at 11.5% per annum and was comprised of cash interest of 4% and PIK interest of 7.5%. Interest was payable quarterly in arrears and PIK interest was added to the principal balance and compounded on a quarterly basis. We had the option to prepay the 2022 Promissory Note at any time for a prepayment amount equal to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issuance of the 2022 Promissory Note, the fair value of the common stock warrants was $11.8 million and was recorded as a debt discount. Debt issuance costs were approximately $ 0.1 million, consisting of advisor fees, legal fees, and other related expenses. Both amounts were recorded as a reduction of the carrying amount of the debt liability. The debt discount and debt issuance costs were amortized to interest expense at an effective interest rate of 14.5% over the term of the loan. The common stock warrants were subsequently exercised during the year ended January 31, 2023.</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2025, we paid $ 198.1 million to settle the 2022 Promissory Note and recognized a $20.5 million loss on the debt extinguishment. The loss on extinguishment of debt is recognized within the condensed consolidated statements of operations. We were in compliance with all affirmative or negative covenants as of the settlement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Loan Facility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2024, the Company entered into a loan agreement with Citibank for an uncommitted revolving line of credit facility (“Trade Loan Facility”), which was subsequently amended in July 2024 with changes to certain legal requirements. The loan agreement provided for a credit facility of up to $45.0 million. Borrowings under the facility required repayment subject to the terms of each borrowing request, subject to a maximum term of 90 days. Borrowings on the Trade Loan Facility incurred interest on a floating rate based on SOFR plus 2%. Borrowings under the Trade Loan Facility were secured by the Company’s billed accounts receivables. In March 2025, we paid $45.3 million to settle the Trade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comprised of $45.0 million for the outstanding balance and $0.3 million for interest. No balances remain outstanding as of April 30, 2026 or January 31,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VARIABLE INTEREST ENTITIES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Labs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6 — Debt for further information on the Warehouse Credit Facility.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condensed consolidated balance sheets.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carrying amounts of Liquid Labs’ assets and liabilities included in our condensed consolidated balance sheets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2026</w:t>
            </w:r>
          </w:p>
        </w:tc>
        <w:tc>
          <w:tcPr>
            <w:tcW w:w="200" w:type="dxa"/>
            <w:vAlign w:val="bottom"/>
          </w:tcPr>
          <w:p>
            <w:pPr>
              <w:spacing w:after="0"/>
              <w:rPr>
                <w:sz w:val="17"/>
                <w:szCs w:val="17"/>
                <w:color w:val="auto"/>
              </w:rPr>
            </w:pP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rPr>
              <w:t>January 31, 2026</w:t>
            </w: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of Liquid Labs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7,142</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 card receivables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8,560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Corporate card receivables as of April 30, 2026 and January 31, 2026 represent pledged customer receivables from Navan, Inc. to Liquid Labs.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w:t>
      </w:r>
    </w:p>
    <w:p>
      <w:pPr>
        <w:spacing w:after="0" w:line="2" w:lineRule="exact"/>
        <w:rPr>
          <w:sz w:val="20"/>
          <w:szCs w:val="20"/>
          <w:color w:val="auto"/>
        </w:rPr>
      </w:pPr>
    </w:p>
    <w:p>
      <w:pPr>
        <w:jc w:val="both"/>
        <w:ind w:firstLine="8"/>
        <w:spacing w:after="0" w:line="255"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IPO, all shares of the Company’s common stock outstanding prior to completion of the IPO were exchanged into an equivalent number of shares of Class A common stock. In addition, pursuant to an exchange agreement with the Company’s two co-founders (the “Co-Founders”) and certain of their affiliates, which became effective as of the completion of the IPO, 15,304,696 shares of the Company’s Class A common stock beneficially owned by the Co-Founders and their respective affiliated entities were exchanged for an equivalent number of shares of our Class B common stock. Subject to separate equity exchange right agreements entered into with them in connection with the IPO, each Co-Founder has a right (but not an obligation) to require the Company to exchange, for shares of Class B common stock, any shares of Class A common stock received by him upon the exercise or settlement of equity awards that were granted to the respective Co-Founders prior to the effectiveness of the filing of our amended and restated certificate of incorporation.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rights of the holders of Class A common stock and Class B common stock are identical, except with respect to voting and conversion rights. Each share of Class A common stock is entitled to one vote per share. Each share of Class B common stock is entitled to 30 votes per share and is convertible into one share of Class A common stock.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holders of both Class A and Class B common stock are entitled to receive dividends pro rata, on an equal priority, pari passu basis whenever funds are legally available therefor and when, as, and if declared by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issuance as of April 30, 2026 and January 31, 2026 are presented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980" w:type="dxa"/>
            <w:vAlign w:val="bottom"/>
            <w:tcBorders>
              <w:bottom w:val="single" w:sz="8" w:color="242424"/>
            </w:tcBorders>
            <w:gridSpan w:val="3"/>
          </w:tcPr>
          <w:p>
            <w:pPr>
              <w:ind w:left="156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1980" w:type="dxa"/>
            <w:vAlign w:val="bottom"/>
            <w:gridSpan w:val="3"/>
          </w:tcPr>
          <w:p>
            <w:pPr>
              <w:ind w:left="380"/>
              <w:spacing w:after="0"/>
              <w:rPr>
                <w:sz w:val="20"/>
                <w:szCs w:val="20"/>
                <w:color w:val="auto"/>
              </w:rPr>
            </w:pPr>
            <w:r>
              <w:rPr>
                <w:rFonts w:ascii="Arial" w:cs="Arial" w:eastAsia="Arial" w:hAnsi="Arial"/>
                <w:sz w:val="14"/>
                <w:szCs w:val="14"/>
                <w:b w:val="1"/>
                <w:bCs w:val="1"/>
                <w:color w:val="auto"/>
              </w:rPr>
              <w:t>April 30, 2026</w:t>
            </w: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rPr>
              <w:t>January 31, 2026</w:t>
            </w: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37,455,860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39,283,485</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RSUs issued and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18,806,310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9,311,201</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available for future grants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39,206,459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37,811,841</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issuance under the 2025 Employee Stock Purchase Plan ("ESPP")</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7,491,747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102,960,376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91,406,527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Stock options granted continue to vest until the last day of employment and generally vest over 4 years and expire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stock option activity for the three months ended April 30, 2026 (in thousands, except price per share, share and years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Weighted-Average</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 of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4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Exercise Price per</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 Life</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2026</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39,283,485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55,743</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1,010,099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(386,435)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37,455,860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145,849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as of April 30, 2026</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37,455,860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14.25</w:t>
            </w:r>
          </w:p>
        </w:tc>
        <w:tc>
          <w:tcPr>
            <w:tcW w:w="1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145,849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April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30,776,070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135,182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April 30, 2026, the weighted-average grant date fair value of options granted was $ 5.94 per share, the intrinsic value of options exercised was $17.0 million, and the aggregate grant-date fair value of options that vested was $16.2 million. For the three months ended April 30, 2025, the weighted-average grant date fair value of options granted was $13.50 per share, the intrinsic value of options exercised was $ 2.5 million, and the aggregate grant-date fair value of options that vested was $21.3 million. As of April 30, 2026, there was approximately $77.8 million of unrecognized compensation cost related to unvested stock options granted, which is expected to be recognized over a weighted-average period of 1.9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granted RSUs that vest either upon the satisfaction of a time-based service condition, or upon the satisfaction of both a time-based service and performance condition. The time-based service condition for these RSUs is generally four years. The performance-based vesting condition was satisfied in connection with the Company’s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RSUs for the three months ended April 30, 2026: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jc w:val="right"/>
              <w:ind w:right="7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Weighted-Average</w:t>
            </w:r>
          </w:p>
        </w:tc>
      </w:tr>
      <w:tr>
        <w:trPr>
          <w:trHeight w:val="189"/>
        </w:trPr>
        <w:tc>
          <w:tcPr>
            <w:tcW w:w="80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Subject to RSUs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10,915,113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r>
      <w:tr>
        <w:trPr>
          <w:trHeight w:val="230"/>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(945,347)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22.03</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April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18,806,310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As of April 30, 2026, there was approximately $269.7 million of unrecognized compensation cost related to unvested RSUs, which is expected to be recognized over a weighted-average period of 3.6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Stock-based compensation is included in the following components of expenses within the condensed consolidated statements of operations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7"/>
                <w:szCs w:val="17"/>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r>
      <w:tr>
        <w:trPr>
          <w:trHeight w:val="22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 net of amounts capitalized</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stock-based compensation</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cost</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April 30, 2026, the Company modified certain stock option awards for certain employees to extend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three months ended April 30, 2026 was $1.1 million, which was recognized at the modification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provision for income tax expense and the effective tax rates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April 30,</w:t>
            </w:r>
          </w:p>
        </w:tc>
        <w:tc>
          <w:tcPr>
            <w:tcW w:w="720" w:type="dxa"/>
            <w:vAlign w:val="bottom"/>
            <w:tcBorders>
              <w:bottom w:val="single" w:sz="8" w:color="auto"/>
            </w:tcBorders>
          </w:tcPr>
          <w:p>
            <w:pPr>
              <w:spacing w:after="0"/>
              <w:rPr>
                <w:sz w:val="17"/>
                <w:szCs w:val="17"/>
                <w:color w:val="auto"/>
              </w:rPr>
            </w:pPr>
          </w:p>
        </w:tc>
      </w:tr>
      <w:tr>
        <w:trPr>
          <w:trHeight w:val="196"/>
        </w:trPr>
        <w:tc>
          <w:tcPr>
            <w:tcW w:w="75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4,482</w:t>
            </w:r>
          </w:p>
        </w:tc>
      </w:tr>
      <w:tr>
        <w:trPr>
          <w:trHeight w:val="239"/>
        </w:trPr>
        <w:tc>
          <w:tcPr>
            <w:tcW w:w="75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tax provision for interim periods is determined using an estimated annual effective tax rate ("ETR"), adjusted for discrete items arising in the relevant period. In each quarter, the Company updates their estimated annual ETR and makes a year-to-date calculation of the provision.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provision for income taxes was $0.8 million and $4.5 million, for the three months ended April 30, 2026 and 2025,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rates for the three months ended April 30, 2026 and 2025 differed from the federal statutory tax rate primarily due to the Company’s full valuation allowance on U.S. federal and certain state deferred tax assets, partially offset by foreign income taxed at rates higher than the U.S. statutory rate.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in the United States. As of April 30, 2026, the Company continues to maintain valuation allowances against its U.S. federal, certain states and certain foreign deferred tax assets.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subject to income tax audits in the U.S. and foreign jurisdictions. The Company records liabilities related to uncertain tax positions and believes that it has provided adequate reserves for income tax uncertainties in all open tax years. It is reasonably possible that there could be changes to the amount of uncertain tax positions due to activities of the taxing authorities, settlement of audit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reassessment of existing uncertain tax positions, or the expiration of applicable statutes of limitations; however, the Company is not able to estimate the impact of these items at this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primarily related to the purchase of cloud hosting arrangements and software subscriptions. The following table presents the summarized purchase obligations as of April 30, 2026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rPr>
              <w:t>Payments Due By Period as of April 30, 2026</w:t>
            </w:r>
          </w:p>
        </w:tc>
        <w:tc>
          <w:tcPr>
            <w:tcW w:w="1560" w:type="dxa"/>
            <w:vAlign w:val="bottom"/>
            <w:tcBorders>
              <w:bottom w:val="single" w:sz="8" w:color="auto"/>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660" w:type="dxa"/>
            <w:vAlign w:val="bottom"/>
            <w:gridSpan w:val="2"/>
          </w:tcPr>
          <w:p>
            <w:pPr>
              <w:ind w:left="62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Less than 1 Year</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1 - 3 Years</w:t>
            </w: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3 - 5 Years</w:t>
            </w:r>
          </w:p>
        </w:tc>
        <w:tc>
          <w:tcPr>
            <w:tcW w:w="1560" w:type="dxa"/>
            <w:vAlign w:val="bottom"/>
          </w:tcPr>
          <w:p>
            <w:pPr>
              <w:ind w:left="160"/>
              <w:spacing w:after="0"/>
              <w:rPr>
                <w:sz w:val="20"/>
                <w:szCs w:val="20"/>
                <w:color w:val="auto"/>
              </w:rPr>
            </w:pPr>
            <w:r>
              <w:rPr>
                <w:rFonts w:ascii="Arial" w:cs="Arial" w:eastAsia="Arial" w:hAnsi="Arial"/>
                <w:sz w:val="14"/>
                <w:szCs w:val="14"/>
                <w:b w:val="1"/>
                <w:bCs w:val="1"/>
                <w:color w:val="auto"/>
              </w:rPr>
              <w:t>More than 5 Years</w:t>
            </w: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18,847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currently involved in, and may in the future be involved in, legal proceedings and administrative proceedings, disputes or claims. The Company records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and Derivative Litigation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23, 2026, a putative securities class action complaint was filed against the Company, its directors and certain of its current and former executive officers (collectively, the “Defendants”) in the U.S. District Court for the Northern District of California. The lawsuit alleges that the Defendants violated the Securities Act of 1933, as amended, by making materially false and misleading statements about the Company’s sales and marketing expenses in its IPO offering documents. The Company intends to vigorously defend the case. As of April 30, 2026, the Company is unable to reasonably estimate the possible losses or range of losses.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Government Grants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January 31, 2023, the Company received a tentative payment schedule from the Dutch government. The NOW Scheme liability balances as of April 30, 2026 and January 31, 2026, and the changes during the three months ended April 30, 2026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Carrying Amount</w:t>
            </w:r>
          </w:p>
        </w:tc>
      </w:tr>
      <w:tr>
        <w:trPr>
          <w:trHeight w:val="224"/>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r>
      <w:tr>
        <w:trPr>
          <w:trHeight w:val="230"/>
        </w:trPr>
        <w:tc>
          <w:tcPr>
            <w:tcW w:w="9560" w:type="dxa"/>
            <w:vAlign w:val="bottom"/>
          </w:tcPr>
          <w:p>
            <w:pPr>
              <w:ind w:left="240"/>
              <w:spacing w:after="0"/>
              <w:rPr>
                <w:sz w:val="20"/>
                <w:szCs w:val="20"/>
                <w:color w:val="auto"/>
              </w:rPr>
            </w:pPr>
            <w:r>
              <w:rPr>
                <w:rFonts w:ascii="Arial" w:cs="Arial" w:eastAsia="Arial" w:hAnsi="Arial"/>
                <w:sz w:val="18"/>
                <w:szCs w:val="18"/>
                <w:color w:val="auto"/>
              </w:rPr>
              <w:t>Repayments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Balance as of April 30, 2026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4,839</w:t>
            </w:r>
          </w:p>
        </w:tc>
      </w:tr>
      <w:tr>
        <w:trPr>
          <w:trHeight w:val="229"/>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balance in 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Balance in other non-current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r>
      <w:tr>
        <w:trPr>
          <w:trHeight w:val="21"/>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2026, the Company’s application for relief is still under review with the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SHARE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and conversion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computation of basic and diluted net loss per share attributable to common stockholders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(61,257)</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 per share attributable to</w:t>
            </w:r>
          </w:p>
        </w:tc>
        <w:tc>
          <w:tcPr>
            <w:tcW w:w="3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250,281,201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46,145,251</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 basic and diluted</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April 30, 2026 and 2025,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stockholders for the periods presented because including them would have been antidilutive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0" w:type="dxa"/>
            <w:vAlign w:val="bottom"/>
          </w:tcPr>
          <w:p>
            <w:pPr>
              <w:spacing w:after="0"/>
              <w:rPr>
                <w:sz w:val="17"/>
                <w:szCs w:val="17"/>
                <w:color w:val="auto"/>
              </w:rPr>
            </w:pPr>
          </w:p>
        </w:tc>
        <w:tc>
          <w:tcPr>
            <w:tcW w:w="22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As of April 30,</w:t>
            </w:r>
          </w:p>
        </w:tc>
        <w:tc>
          <w:tcPr>
            <w:tcW w:w="1160" w:type="dxa"/>
            <w:vAlign w:val="bottom"/>
            <w:tcBorders>
              <w:bottom w:val="single" w:sz="8" w:color="auto"/>
            </w:tcBorders>
          </w:tcPr>
          <w:p>
            <w:pPr>
              <w:spacing w:after="0"/>
              <w:rPr>
                <w:sz w:val="17"/>
                <w:szCs w:val="17"/>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shares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146,360,207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37,455,860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42,312,726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18,806,310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7,150,664</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ESPP</w:t>
            </w:r>
          </w:p>
        </w:tc>
        <w:tc>
          <w:tcPr>
            <w:tcW w:w="1680" w:type="dxa"/>
            <w:vAlign w:val="bottom"/>
          </w:tcPr>
          <w:p>
            <w:pPr>
              <w:jc w:val="right"/>
              <w:spacing w:after="0"/>
              <w:rPr>
                <w:sz w:val="20"/>
                <w:szCs w:val="20"/>
                <w:color w:val="auto"/>
              </w:rPr>
            </w:pPr>
            <w:r>
              <w:rPr>
                <w:rFonts w:ascii="Arial" w:cs="Arial" w:eastAsia="Arial" w:hAnsi="Arial"/>
                <w:sz w:val="18"/>
                <w:szCs w:val="18"/>
                <w:color w:val="auto"/>
              </w:rPr>
              <w:t>440,790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2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Warrants to purchase common stock</w:t>
            </w:r>
          </w:p>
        </w:tc>
        <w:tc>
          <w:tcPr>
            <w:tcW w:w="22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1,216,176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2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12,948,711</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SAFEs</w:t>
            </w:r>
          </w:p>
        </w:tc>
        <w:tc>
          <w:tcPr>
            <w:tcW w:w="2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7,949,060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56,706,271</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218,013,884</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2026, the Company entered into a lease agreement for a new office space in London, UK with a lease term of approximately 3 years. Total minimum lease payments are estimated to be approximately $12.3 million. The Company will recognize the related right-of-use asset and lease liability, which have not yet been determined,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audited consolidated financial statements and related notes as disclosed in our Annual Report on Form 10-K for the year ended January 31, 2026.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Quarterly Report on Form 10-Q. Our historical results are not necessarily indicative of the results that may be expected for any period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Navan is a global AI-powered business travel and expense platform that makes travel easy for frequent travelers. Since our inception, we have leveraged technology to reimagine business travel. We built a comprehensive platform that serves as the foundation for further disruption. We deliver personalized experiences for users, efficiency and control for customers, and direct market access for suppliers — all powered by our proprietary AI framework, Navan Cognition.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on a usage or subscription basis from the following:</w:t>
      </w:r>
    </w:p>
    <w:p>
      <w:pPr>
        <w:spacing w:after="0" w:line="171" w:lineRule="exact"/>
        <w:rPr>
          <w:sz w:val="20"/>
          <w:szCs w:val="20"/>
          <w:color w:val="auto"/>
        </w:rPr>
      </w:pPr>
    </w:p>
    <w:p>
      <w:pPr>
        <w:jc w:val="both"/>
        <w:ind w:left="660" w:hanging="328"/>
        <w:spacing w:after="0" w:line="28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Our customers include companies and organizations that contract with us to provide their employees (our users)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our Travel offerings or Expense Management offering. We typically enter into annual or multi-year contracts whereby customers pay a per-trip or per-transaction fee for access to our Travel offering or on-demand Travel Management offerings (our VIP, Meetings and Events, and Bleisure offerings) and pay an annual subscription fee for access to our Expense Management offering.</w:t>
      </w:r>
    </w:p>
    <w:p>
      <w:pPr>
        <w:spacing w:after="0" w:line="107" w:lineRule="exact"/>
        <w:rPr>
          <w:rFonts w:ascii="Arial" w:cs="Arial" w:eastAsia="Arial" w:hAnsi="Arial"/>
          <w:sz w:val="17"/>
          <w:szCs w:val="17"/>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Suppliers: </w:t>
      </w:r>
      <w:r>
        <w:rPr>
          <w:rFonts w:ascii="Arial" w:cs="Arial" w:eastAsia="Arial" w:hAnsi="Arial"/>
          <w:sz w:val="18"/>
          <w:szCs w:val="18"/>
          <w:color w:val="auto"/>
        </w:rPr>
        <w:t>Our suppliers include airlines, hotels, rental car companies, rail carriers, providers of global distribution systems (“GDS”),</w:t>
      </w:r>
      <w:r>
        <w:rPr>
          <w:rFonts w:ascii="Arial" w:cs="Arial" w:eastAsia="Arial" w:hAnsi="Arial"/>
          <w:sz w:val="18"/>
          <w:szCs w:val="18"/>
          <w:i w:val="1"/>
          <w:iCs w:val="1"/>
          <w:color w:val="auto"/>
        </w:rPr>
        <w:t xml:space="preserve"> </w:t>
      </w:r>
      <w:r>
        <w:rPr>
          <w:rFonts w:ascii="Arial" w:cs="Arial" w:eastAsia="Arial" w:hAnsi="Arial"/>
          <w:sz w:val="18"/>
          <w:szCs w:val="18"/>
          <w:color w:val="auto"/>
        </w:rPr>
        <w:t>and travel inventory providers. We earn revenue from our suppliers in the form of commissions based on the dollar volume of bookings made by users on our platform and a commission rate for each supplier.</w:t>
      </w:r>
    </w:p>
    <w:p>
      <w:pPr>
        <w:spacing w:after="0" w:line="11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Payment partners: </w:t>
      </w:r>
      <w:r>
        <w:rPr>
          <w:rFonts w:ascii="Arial" w:cs="Arial" w:eastAsia="Arial" w:hAnsi="Arial"/>
          <w:sz w:val="18"/>
          <w:szCs w:val="18"/>
          <w:color w:val="auto"/>
        </w:rPr>
        <w:t>Our payment partners primarily include corporate card payment processors and card issuing partners. We earn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our payment partners from fees based on the dollar volume of spend on our corporate cards.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rPr>
              <w:t>Three Months Ended April 30,</w:t>
            </w:r>
          </w:p>
        </w:tc>
        <w:tc>
          <w:tcPr>
            <w:tcW w:w="1440" w:type="dxa"/>
            <w:vAlign w:val="bottom"/>
            <w:tcBorders>
              <w:bottom w:val="single" w:sz="8" w:color="auto"/>
            </w:tcBorders>
          </w:tcPr>
          <w:p>
            <w:pPr>
              <w:spacing w:after="0"/>
              <w:rPr>
                <w:sz w:val="17"/>
                <w:szCs w:val="17"/>
                <w:color w:val="auto"/>
              </w:rPr>
            </w:pPr>
          </w:p>
        </w:tc>
      </w:tr>
      <w:tr>
        <w:trPr>
          <w:trHeight w:val="196"/>
        </w:trPr>
        <w:tc>
          <w:tcPr>
            <w:tcW w:w="5920" w:type="dxa"/>
            <w:vAlign w:val="bottom"/>
          </w:tcPr>
          <w:p>
            <w:pPr>
              <w:spacing w:after="0"/>
              <w:rPr>
                <w:sz w:val="17"/>
                <w:szCs w:val="17"/>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 Growth</w:t>
            </w:r>
          </w:p>
        </w:tc>
      </w:tr>
      <w:tr>
        <w:trPr>
          <w:trHeight w:val="236"/>
        </w:trPr>
        <w:tc>
          <w:tcPr>
            <w:tcW w:w="5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(dollars in billions)</w:t>
            </w:r>
          </w:p>
        </w:tc>
        <w:tc>
          <w:tcPr>
            <w:tcW w:w="1440" w:type="dxa"/>
            <w:vAlign w:val="bottom"/>
          </w:tcPr>
          <w:p>
            <w:pPr>
              <w:spacing w:after="0"/>
              <w:rPr>
                <w:sz w:val="20"/>
                <w:szCs w:val="20"/>
                <w:color w:val="auto"/>
              </w:rPr>
            </w:pPr>
          </w:p>
        </w:tc>
      </w:tr>
      <w:tr>
        <w:trPr>
          <w:trHeight w:val="231"/>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booking volume (GBV)</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Payment volume</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Booking Volume (GBV)</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gross booking volume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Volume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there is substantial opportunity to continue to grow our customer base across both the managed and unmanaged categories, as well as across both our direct sales-led growth (“SLG”) channel (in which qualified sales professionals actively identify, engage, and support prospective customers through the evaluation and purchasing process) and our product-led growth (“PLG”) channel (in which our platform and our suite of offerings serve as the primary drivers of customer acquisition, expansion, and retention). As such, we will continue to invest in sales and marketing to drive awareness of our platform in order to continue adding new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 VIP, and Bleisure. This added value for customers also benefits our own financial performance.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Sustaining Innovation and Leadership</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success is dependent on our ability to sustain our leadership in innovation and technology. We have invested heavily in building out Navan Cloud, our global infrastructure, which is designed to enable the delivery of a wide range of travel content to our customers. We intend to continue investing in our infrastructure to ensure that our customers have a broad array of options and choices when using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further enhance customer choice and flexibility, we developed Navan Connect, which allows customers to integrate their existing systems and preferences and offers actionable real-time visibility and policy enforcement for business expense management. While Navan Connect does not itself generate revenue for Navan, we believe the flexibility it offers our customers helps drive easier and faster adoption of our Expense Management offering.</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invested significantly in AI to help make every step of the pre-booking,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provide a high level of service to customers for their basic needs and reserve agent time for more critical or complex customer service situations.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Edge, which is powered by Navan Cognition and designed to redefine how travelers book, modify, and manage trips on the go via their mobile devices.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Organically and Inorganically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highly successful track record of organic and inorganic investments and may consider additional strategic acquisition opportunities. We have previously executed and integrated multiple acquisitions, including Reed &amp; Mackay (“R&amp;M”), expanding our geographic footprint and strengthening our offering capabilities across core markets. Historically, inorganic growth efforts have focused on expanding international presence, deepening supply relationships, and extending our presence in key regions. These acquisitions have accelerated our growth, enhanced localization, and enabled the company to serve a broader spectrum of enterprise customers with differentiated offerings tailored to regional travel and compliance needs. We may continue to make strategic acquisitions and other investments that allow us to further strengthen our platform, accelerate growth, and improve our offerings to best serve our diverse customer base.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Reed &amp; Mackay Customer Transition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we acquired R&amp;M, a UK-based travel management company to expand our international presence and global service offerings to meet the needs of customers requiring a white-glove travel management service model. In January 2026, we announced that we will begin unifying our services under the Navan brand, which involves transitioning existing customers of our R&amp;M service model to the Navan technology platform and, effective immediately upon the January 2026 announcement, retiring the R&amp;M brand for the purposes of new sales opportunities and conducting all new travel sales under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unified Navan brand. During and subsequent to the transition, customers will continue to receive the same premium level of service they value today.</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overall customer retention has been and continues to be strong, uncertainty exists as it relates to the degree to which the transition to the Navan technology platform will impact our relationships with existing customers of the R&amp;M service model. For more information, see the section titled “Risk Factors—Risks Related to Our Business and Industry—We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retirement of the R&amp;M brand, we recognized the remaining amortization expense related to the R&amp;M trade name intangible asset during the year ended January 31, 2026. Please refer to our audited consolidated financial statements and related notes as disclosed in our Annual Report on Form 10-K for the year ended January 31, 2026 for further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Travel Demand</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generally experience seasonality in our revenue, primarily related to seasonal travel trends of business travelers. As revenue is driven by travel volume,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We categorize revenue earned as (i) usage-based revenue, which primarily represents fees from our platform customers earned on a per-booking transaction basis and fees from our travel supply and payment partners, which are generally earned on a per-transaction basis, and (ii) subscription revenue, which primarily represents revenue earned from subscriptions to our expense management platform. Under arrangements with certain suppliers, we earn additional fees when cumulative actual booking or transaction dollar volume exceeds specified contractual thresholds. Our suppliers include airlines, hotels, car rental companies, rail carriers, and providers of GDSs. Our payment partners primarily include our corporate card payment processors and card issuing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Excluding the impact of stock-based compensation expense, we expect that our cost of revenue may fluctuate as a percentage of our revenue from period to period depending on revenue seasonality or other factors impacting revenue, and to decline as a percentage of revenue over the long term.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Excluding the impact of stock-based compensation expense, we expect that research and development expenses may fluctuate as a percentage of our revenue from period to period depending on the timing of these expenses or other factors impacting revenue, and to decline as a percentage of revenue over the long term.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near term, we expect that our sales and marketing expenses will increase in absolute dollars as we continue to invest in our sales and marketing organization to drive continued adoption of our platform. Excluding the impact of stock-based compensation expense, we expect that sales and marketing expenses may fluctuate as a percentage of our revenue from period to period depending on the timing of these expenses or other factors impacting revenue, and to decline as a percentage of revenue over the long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are expensed as incurred. Excluding the impact of stock-based compensation expense, we expect to increase the size of our general and administrative function to support the growth of our business.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primarily relates to interest expense on our borrowings, including amortization of debt discount and issuance costs related to our outstanding debt.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net primarily consists of interest income earned on cash, cash equivalents and short-term investments, including the amortization of premiums and accretion of discounts related to our marketable debt securities, net realized gains and losses on sales of investments, foreign exchange gains and losses, and other non-operating gains and losses.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Loss on extinguishment of debt consists of losses incurred on the extinguishment of debt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Fair Value Adjustments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on fair value adjustments primarily consists of losses as a result of recording our SAFEs, embedded derivative and warrant liabilities at fair value at the end of each reporting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primarily consists of income taxes in certain federal, state, and foreign jurisdictions in which we conduct business. We maintain a full valuation allowance against our U.S. federal, certain states and certain foreign deferred tax assets, as we have concluded that it is not more likely than not that these deferred tax assets will be realized.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condensed consolidated statements of operations data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r>
      <w:tr>
        <w:trPr>
          <w:trHeight w:val="237"/>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0"/>
                <w:szCs w:val="20"/>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220,231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157,461</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w:t>
            </w:r>
          </w:p>
        </w:tc>
      </w:tr>
      <w:tr>
        <w:trPr>
          <w:trHeight w:val="22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31,402</w:t>
            </w:r>
          </w:p>
        </w:tc>
      </w:tr>
      <w:tr>
        <w:trPr>
          <w:trHeight w:val="229"/>
        </w:trPr>
        <w:tc>
          <w:tcPr>
            <w:tcW w:w="77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61,880</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127,687</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(15,894)</w:t>
            </w:r>
          </w:p>
        </w:tc>
      </w:tr>
      <w:tr>
        <w:trPr>
          <w:trHeight w:val="229"/>
        </w:trPr>
        <w:tc>
          <w:tcPr>
            <w:tcW w:w="77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(16,336)</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(20,528)</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fair value adjustments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(61,257)</w:t>
            </w:r>
          </w:p>
        </w:tc>
      </w:tr>
      <w:tr>
        <w:trPr>
          <w:trHeight w:val="21"/>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Stock-based compensation is included in the following components of expenses within the condensed consolidated statements of operations: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r>
      <w:tr>
        <w:trPr>
          <w:trHeight w:val="237"/>
        </w:trPr>
        <w:tc>
          <w:tcPr>
            <w:tcW w:w="7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0"/>
                <w:szCs w:val="20"/>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expressed as a percentage of revenue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b w:val="1"/>
                <w:bCs w:val="1"/>
                <w:color w:val="auto"/>
              </w:rPr>
              <w:t>2025</w:t>
            </w:r>
          </w:p>
        </w:tc>
      </w:tr>
      <w:tr>
        <w:trPr>
          <w:trHeight w:val="238"/>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(as a percent of revenue)</w:t>
            </w:r>
            <w:r>
              <w:rPr>
                <w:rFonts w:ascii="Arial" w:cs="Arial" w:eastAsia="Arial" w:hAnsi="Arial"/>
                <w:sz w:val="18"/>
                <w:szCs w:val="18"/>
                <w:b w:val="1"/>
                <w:bCs w:val="1"/>
                <w:color w:val="auto"/>
                <w:vertAlign w:val="superscript"/>
              </w:rPr>
              <w:t>(1)</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8"/>
                <w:szCs w:val="18"/>
                <w:color w:val="auto"/>
              </w:rPr>
              <w:t>29</w:t>
            </w: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71</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39</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22</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8"/>
                <w:szCs w:val="18"/>
                <w:color w:val="auto"/>
              </w:rPr>
              <w:t>81</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(10)</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4</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(13)</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fair value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before income tax expense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gridSpan w:val="2"/>
          </w:tcPr>
          <w:p>
            <w:pPr>
              <w:jc w:val="right"/>
              <w:ind w:right="99"/>
              <w:spacing w:after="0"/>
              <w:rPr>
                <w:sz w:val="20"/>
                <w:szCs w:val="20"/>
                <w:color w:val="auto"/>
              </w:rPr>
            </w:pPr>
            <w:r>
              <w:rPr>
                <w:rFonts w:ascii="Arial" w:cs="Arial" w:eastAsia="Arial" w:hAnsi="Arial"/>
                <w:sz w:val="18"/>
                <w:szCs w:val="18"/>
                <w:color w:val="auto"/>
              </w:rPr>
              <w:t>(35)</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w:t>
            </w: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ind w:left="78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60"/>
        </w:trPr>
        <w:tc>
          <w:tcPr>
            <w:tcW w:w="4600" w:type="dxa"/>
            <w:vAlign w:val="bottom"/>
          </w:tcPr>
          <w:p>
            <w:pPr>
              <w:spacing w:after="0"/>
              <w:rPr>
                <w:sz w:val="20"/>
                <w:szCs w:val="20"/>
                <w:color w:val="auto"/>
              </w:rPr>
            </w:pPr>
            <w:r>
              <w:rPr>
                <w:rFonts w:ascii="Arial" w:cs="Arial" w:eastAsia="Arial" w:hAnsi="Arial"/>
                <w:sz w:val="16"/>
                <w:szCs w:val="16"/>
                <w:color w:val="auto"/>
              </w:rPr>
              <w:t>________________</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6"/>
                <w:szCs w:val="16"/>
                <w:color w:val="auto"/>
              </w:rPr>
              <w:t>(1) Totals of percent of revenue may not foot due to rounding.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8"/>
        </w:trPr>
        <w:tc>
          <w:tcPr>
            <w:tcW w:w="62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2026 and 2025</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9"/>
        </w:trPr>
        <w:tc>
          <w:tcPr>
            <w:tcW w:w="4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Usage-based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202,134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143,149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58,985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18,097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3,785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48"/>
        </w:trPr>
        <w:tc>
          <w:tcPr>
            <w:tcW w:w="46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revenue for the three months ended April 30, 2026 increased $62.8 million, or 40%, primarily due to (i) an increase in usage-based revenue driven by a 50% increase in GBV and a 29%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impact of foreign currency translation on the change in revenue for the three months ended April 30, 2025 to the three months ended April 30, 2026 was not material.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 April 30,</w:t>
            </w:r>
          </w:p>
        </w:tc>
        <w:tc>
          <w:tcPr>
            <w:tcW w:w="1660" w:type="dxa"/>
            <w:vAlign w:val="bottom"/>
            <w:tcBorders>
              <w:bottom w:val="single" w:sz="8" w:color="auto"/>
            </w:tcBorders>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36"/>
        </w:trPr>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Pr>
          <w:p>
            <w:pPr>
              <w:spacing w:after="0"/>
              <w:rPr>
                <w:sz w:val="20"/>
                <w:szCs w:val="20"/>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57,176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45,668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163,055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111,793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51,262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three months ended April 30, 2026 increased by $11.5 million, or 25%, primarily due to an increase in salaries and related benefits of $6.3 million, driven by an increase in headcount. Additionally, cloud hosting, support, processing, and ticketing fees increased by $2.4 million, and facilities and IT-related costs increased by $1.2 million. The increase in gross profit and gross margin is primarily due to an increase in revenue on a relatively fixed cost base supported by our delivery of AI-powered customer support.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c>
          <w:tcPr>
            <w:tcW w:w="170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31,402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 for the three months ended April 30, 2026 increased by $8.0 million, or 25%, primarily due to an increase in salaries and related benefits of $ 8.1 million driven by an increase of $ 4.1 million related to stock-based compensation expense and an increase in headcount, partially offset by a decrease in professional service fees of $0.9 million.</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c>
          <w:tcPr>
            <w:tcW w:w="170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61,880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30,035</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and marketing expense for the three months ended April 30, 2026 increased by $30.0 million, or 49%, primarily due to an increase in salaries and related benefits of $14.4 million, of which $4.7 million related to stock-based compensation expense. The increase in salaries and related benefits is primarily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driven by an increase in headcount as we continue to expand our sales and marketing organization to grow our customer base. Additional drivers of the period over period increase include (i) an increase in sales commissions expense of $7.3 million (ii) an increase in advertising and marketing expense of $4.3 million, (iii) an increase in other corporate costs of $1.6 million, (iv) an increase in facilities and IT-related costs of $1.5 million, and (v) $1.3 million of restructuring costs related to workforce reductions recognized during the three months ended April 30, 2026 in connection with the announced transition of customers of our R&amp;M service model to the Navan platform.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c>
          <w:tcPr>
            <w:tcW w:w="170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34,405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 for the three months ended April 30, 2026 increased by $15.4 million, or 45%, primarily due to an increase in stock based compensation expense of $10.7 million and an increase in professional service fees of $1.8 million. Additionally, $1.4 million of severance and executive transition costs were recognized during the three months ended April 30,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c>
          <w:tcPr>
            <w:tcW w:w="170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(16,336)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bl>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for the three months ended April 30, 2026 decreased by $13.5 million, or 83%, primarily due to the settlement of the 2022 Promissory Note in February 2025 (see Note 6 — Debt in the notes to the condensed consolidated financial statements included elsewhere in this report), the settlement and conversion of the Vista Facility, SAFEs, and convertible notes in connection with the IPO (all which are defined and further described within Note 6 — Debt in the notes to the condensed consolidated financial statements included elsewhere in this report, and under “Liquidity and Capital Resources―Debt Obligations Extinguished in Connection with the IPO”), and lower borrowing levels under the Warehouse Credit Facility (as defined and further described within Note 6 — Debt in the notes to the condensed consolidated financial statements included elsewhere in this report, and under “Liquidity and Capital Resources―Debt Obligations―Warehouse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April 30,</w:t>
            </w:r>
          </w:p>
        </w:tc>
        <w:tc>
          <w:tcPr>
            <w:tcW w:w="1760" w:type="dxa"/>
            <w:vAlign w:val="bottom"/>
            <w:tcBorders>
              <w:bottom w:val="single" w:sz="8" w:color="auto"/>
            </w:tcBorders>
          </w:tcPr>
          <w:p>
            <w:pPr>
              <w:spacing w:after="0"/>
              <w:rPr>
                <w:sz w:val="17"/>
                <w:szCs w:val="17"/>
                <w:color w:val="auto"/>
              </w:rPr>
            </w:pPr>
          </w:p>
        </w:tc>
      </w:tr>
      <w:tr>
        <w:trPr>
          <w:trHeight w:val="196"/>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tcPr>
          <w:p>
            <w:pPr>
              <w:spacing w:after="0"/>
              <w:rPr>
                <w:sz w:val="20"/>
                <w:szCs w:val="20"/>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for the three months ended April 30, 2026 decreased by $4.9 million, or 80%, primarily due to foreign currency losses of $3.8 million during the three months ended April 30, 2026 as compared to foreign currency gains of $ 7.9 million during the three months ended April 30, 2025, partially offset by an increase in interest income of $ 3.5 million and a decrease in debt issuance costs of $2.9 million, which were expensed when incurred in connection with the issuance of the SAFEs during the three months ended April 30, 2025 (as described below under “―Liquidity and Capital Resources― Debt Obligations Extinguished in Connection with the IPO―SAFEs”).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156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20"/>
                <w:szCs w:val="20"/>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(20,528)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Loss on extinguishment of debt for the three months ended April 30, 2025 represents the loss on the settlement of the 2022 Promissory Note.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Fair Value Adjustments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1560" w:type="dxa"/>
            <w:vAlign w:val="bottom"/>
            <w:tcBorders>
              <w:bottom w:val="single" w:sz="8" w:color="auto"/>
            </w:tcBorders>
          </w:tcPr>
          <w:p>
            <w:pPr>
              <w:spacing w:after="0"/>
              <w:rPr>
                <w:sz w:val="17"/>
                <w:szCs w:val="17"/>
                <w:color w:val="auto"/>
              </w:rPr>
            </w:pPr>
          </w:p>
        </w:tc>
      </w:tr>
      <w:tr>
        <w:trPr>
          <w:trHeight w:val="223"/>
        </w:trPr>
        <w:tc>
          <w:tcPr>
            <w:tcW w:w="4680" w:type="dxa"/>
            <w:vAlign w:val="bottom"/>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w:t>
            </w:r>
          </w:p>
        </w:tc>
      </w:tr>
      <w:tr>
        <w:trPr>
          <w:trHeight w:val="236"/>
        </w:trPr>
        <w:tc>
          <w:tcPr>
            <w:tcW w:w="4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20"/>
                <w:szCs w:val="20"/>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fair value adjustments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(10,136)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on fair value adjustments for the three months ended April 30, 2025 represents the impact of recording financial liabilities to fair value, which were settled prior to the three months ended April 30, 2026.</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April 30,</w:t>
            </w:r>
          </w:p>
        </w:tc>
        <w:tc>
          <w:tcPr>
            <w:tcW w:w="1760" w:type="dxa"/>
            <w:vAlign w:val="bottom"/>
            <w:tcBorders>
              <w:bottom w:val="single" w:sz="8" w:color="auto"/>
            </w:tcBorders>
          </w:tcPr>
          <w:p>
            <w:pPr>
              <w:spacing w:after="0"/>
              <w:rPr>
                <w:sz w:val="17"/>
                <w:szCs w:val="17"/>
                <w:color w:val="auto"/>
              </w:rPr>
            </w:pPr>
          </w:p>
        </w:tc>
      </w:tr>
      <w:tr>
        <w:trPr>
          <w:trHeight w:val="196"/>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36"/>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tcPr>
          <w:p>
            <w:pPr>
              <w:spacing w:after="0"/>
              <w:rPr>
                <w:sz w:val="20"/>
                <w:szCs w:val="20"/>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expense for the three months ended April 30, 2026 decreased by $3.7 million, or 82%, primarily due to decreases in foreign profits and the release of unrecognized tax benefits from the settlement of tax examinations.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use certain non-GAAP financial measures, which include non-GAAP gross profit, non-GAAP gross margin, non-GAAP income from operations, non-GAAP net income (loss), and free cash flow,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include these non-GAAP financial measures in this Quarterly Report on Form 10-Q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63" w:lineRule="exact"/>
        <w:rPr>
          <w:sz w:val="20"/>
          <w:szCs w:val="20"/>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Stock-based compensation-related charges. </w:t>
      </w:r>
      <w:r>
        <w:rPr>
          <w:rFonts w:ascii="Arial" w:cs="Arial" w:eastAsia="Arial" w:hAnsi="Arial"/>
          <w:sz w:val="18"/>
          <w:szCs w:val="18"/>
          <w:color w:val="auto"/>
        </w:rPr>
        <w:t>We exclude stock-based compensation expense and related charges to allow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125" w:lineRule="exact"/>
        <w:rPr>
          <w:rFonts w:ascii="Arial" w:cs="Arial" w:eastAsia="Arial" w:hAnsi="Arial"/>
          <w:sz w:val="18"/>
          <w:szCs w:val="18"/>
          <w:color w:val="auto"/>
        </w:rPr>
      </w:pPr>
    </w:p>
    <w:p>
      <w:pPr>
        <w:jc w:val="both"/>
        <w:ind w:left="660" w:right="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recognize amortization expense related to intangible assets acquired in connection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debt discount and debt issuance costs. </w:t>
      </w:r>
      <w:r>
        <w:rPr>
          <w:rFonts w:ascii="Arial" w:cs="Arial" w:eastAsia="Arial" w:hAnsi="Arial"/>
          <w:sz w:val="18"/>
          <w:szCs w:val="18"/>
          <w:color w:val="auto"/>
        </w:rPr>
        <w:t>In connection with the issuance of our outstanding debt instruments, we incur</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Loss on fair value adjustments. </w:t>
      </w:r>
      <w:r>
        <w:rPr>
          <w:rFonts w:ascii="Arial" w:cs="Arial" w:eastAsia="Arial" w:hAnsi="Arial"/>
          <w:sz w:val="18"/>
          <w:szCs w:val="18"/>
          <w:color w:val="auto"/>
        </w:rPr>
        <w:t>We exclude gains and losses on fair value adjustments related to the remeasurement of the SAFEs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derivative and warrant liabilities as of the end of each reporting period. We exclude these non-cash gains and losses because they are unrelated to our core operating performance.</w:t>
      </w:r>
    </w:p>
    <w:p>
      <w:pPr>
        <w:spacing w:after="0" w:line="116"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SAFE debt issuance costs expensed. </w:t>
      </w:r>
      <w:r>
        <w:rPr>
          <w:rFonts w:ascii="Arial" w:cs="Arial" w:eastAsia="Arial" w:hAnsi="Arial"/>
          <w:sz w:val="18"/>
          <w:szCs w:val="18"/>
          <w:color w:val="auto"/>
        </w:rPr>
        <w:t>We exclude the issuance costs incurred in connection with the SAFEs issued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30, 2025 as these costs are non-recurring and unrelated to our core operating performance. We believe the exclusion of this expense provides for a useful comparison of our operating results to prior periods and to our peer companies.</w:t>
      </w:r>
    </w:p>
    <w:p>
      <w:pPr>
        <w:spacing w:after="0" w:line="116" w:lineRule="exact"/>
        <w:rPr>
          <w:rFonts w:ascii="Arial" w:cs="Arial" w:eastAsia="Arial" w:hAnsi="Arial"/>
          <w:sz w:val="18"/>
          <w:szCs w:val="18"/>
          <w:i w:val="1"/>
          <w:iCs w:val="1"/>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exclude losses on the extinguishment of debt, as these losses are non-recurring and unrelated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core operating performance. We believe the exclusion provides for a useful comparison of our operating results to prior periods and to our peer companies.</w:t>
      </w:r>
    </w:p>
    <w:p>
      <w:pPr>
        <w:spacing w:after="0" w:line="116" w:lineRule="exact"/>
        <w:rPr>
          <w:rFonts w:ascii="Arial" w:cs="Arial" w:eastAsia="Arial" w:hAnsi="Arial"/>
          <w:sz w:val="18"/>
          <w:szCs w:val="18"/>
          <w:i w:val="1"/>
          <w:iCs w:val="1"/>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Severance and executive transition costs</w:t>
      </w:r>
      <w:r>
        <w:rPr>
          <w:rFonts w:ascii="Arial" w:cs="Arial" w:eastAsia="Arial" w:hAnsi="Arial"/>
          <w:sz w:val="18"/>
          <w:szCs w:val="18"/>
          <w:color w:val="auto"/>
        </w:rPr>
        <w:t>. During the three months ended April 30, 2026, we incurred costs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departure of our Chief Financial Officer, which consisted of severance and retention payments, and other third party professional services. We exclude these costs because they are non-recurring in nature and are not representative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 In January 2026, we announced the transition of customers of our R&amp;M service model to the Navan platform. As</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integration and evolution of the unified offering, we implemented workforce reductions and incurred employee-related expenses, including severance and other termination benefits. We may incur incremental restructuring costs in the near and long-term related to the announced unification of services under the Navan brand; however, the timing and magnitude of these costs is uncertain. We exclude these costs because we do not consider them to be normal cash operating expenses necessary to operate our business.</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Non-GAAP provision for income taxes. </w:t>
      </w:r>
      <w:r>
        <w:rPr>
          <w:rFonts w:ascii="Arial" w:cs="Arial" w:eastAsia="Arial" w:hAnsi="Arial"/>
          <w:sz w:val="18"/>
          <w:szCs w:val="18"/>
          <w:color w:val="auto"/>
        </w:rPr>
        <w:t>We have adjusted the provision for income taxes to reflect the income tax effects of the non-GAAP adjustments to GAAP loss before income tax expense. Due to the full valuation allowance against U.S. federal and state deferred taxes, the primary non-GAAP adjustments relate to the income tax effects of stock-based compensation expense and amortization of intangible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non-GAAP gross profit as GAAP gross profit, excluding stock-based compensation-related charges, amortization of intangible assets, and restructuring costs. We define non-GAAP gross margin as non-GAAP gross profit divided by revenue.</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reconciliation of GAAP gross profit to non-GAAP gross profit and gross margin to non-GAAP gross margin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April 30,</w:t>
            </w:r>
          </w:p>
        </w:tc>
      </w:tr>
      <w:tr>
        <w:trPr>
          <w:trHeight w:val="223"/>
        </w:trPr>
        <w:tc>
          <w:tcPr>
            <w:tcW w:w="7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96"/>
              </w:rPr>
              <w:t>2025</w:t>
            </w:r>
          </w:p>
        </w:tc>
      </w:tr>
      <w:tr>
        <w:trPr>
          <w:trHeight w:val="196"/>
        </w:trPr>
        <w:tc>
          <w:tcPr>
            <w:tcW w:w="77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Borders>
              <w:bottom w:val="single" w:sz="8" w:color="auto"/>
            </w:tcBorders>
          </w:tcPr>
          <w:p>
            <w:pPr>
              <w:spacing w:after="0"/>
              <w:rPr>
                <w:sz w:val="17"/>
                <w:szCs w:val="17"/>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163,055</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111,793</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compensation-related charges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1,789</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1,047</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165,044</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112,903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from Operations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non-GAAP income from operations as GAAP loss from operations, excluding stock-based compensation-related charges, amortization of intangible assets, severance and executive transition costs, and restructuring costs. The following table sets forth the reconciliation of GAAP loss from operations to non-GAAP income from operations for the periods presented: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Severance and executive transition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costs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income from operations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2202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196"/>
        </w:trPr>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7"/>
                <w:szCs w:val="17"/>
                <w:color w:val="auto"/>
              </w:rPr>
            </w:pPr>
          </w:p>
        </w:tc>
      </w:tr>
      <w:tr>
        <w:trPr>
          <w:trHeight w:val="219"/>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(15,894)</w:t>
            </w:r>
          </w:p>
        </w:tc>
      </w:tr>
      <w:tr>
        <w:trPr>
          <w:trHeight w:val="230"/>
        </w:trPr>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17,260</w:t>
            </w:r>
          </w:p>
        </w:tc>
      </w:tr>
      <w:tr>
        <w:trPr>
          <w:trHeight w:val="230"/>
        </w:trPr>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46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non-GAAP net income (loss) as GAAP net loss, excluding stock-based compensation-related charges, amortization of intangible assets, amortization of debt discount and debt issuance costs, loss on fair value adjustments, SAFE debt issuance costs expensed, loss on extinguishment of debt, severance and executive transition costs, and restructuring costs, and adjusted to reflect the income tax effects of the non-GAAP adjustments to GAAP loss before income tax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of GAAP net loss to non-GAAP net income (loss)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April 30,</w:t>
            </w:r>
          </w:p>
        </w:tc>
      </w:tr>
      <w:tr>
        <w:trPr>
          <w:trHeight w:val="223"/>
        </w:trPr>
        <w:tc>
          <w:tcPr>
            <w:tcW w:w="7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r>
      <w:tr>
        <w:trPr>
          <w:trHeight w:val="196"/>
        </w:trPr>
        <w:tc>
          <w:tcPr>
            <w:tcW w:w="77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7"/>
                <w:szCs w:val="17"/>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Stock-based compensation-related charges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17,260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fair value adjustments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SAFE debt issuance costs expensed</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Severance and executive transition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provision for income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define free cash flow, a non-GAAP financial measure, as GAAP net cash provided by (used in) operating activities reduced by cash used for investing activities for capitalized software development costs and purchases of property and equipment.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of GAAP operating cash flow to non-GAAP free cash flow for the periods presented: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Purchases of property and equipment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Three Months Ended April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196"/>
        </w:trPr>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spacing w:after="0"/>
              <w:rPr>
                <w:sz w:val="17"/>
                <w:szCs w:val="17"/>
                <w:color w:val="auto"/>
              </w:rPr>
            </w:pPr>
          </w:p>
        </w:tc>
      </w:tr>
      <w:tr>
        <w:trPr>
          <w:trHeight w:val="219"/>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4,551</w:t>
            </w:r>
          </w:p>
        </w:tc>
      </w:tr>
      <w:tr>
        <w:trPr>
          <w:trHeight w:val="229"/>
        </w:trPr>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(3,927)</w:t>
            </w:r>
          </w:p>
        </w:tc>
      </w:tr>
      <w:tr>
        <w:trPr>
          <w:trHeight w:val="235"/>
        </w:trPr>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260" w:space="720"/>
            <w:col w:w="3260"/>
          </w:cols>
          <w:pgMar w:left="320" w:top="229" w:right="3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In October 2025, we completed our IPO and sold 30,000,000 shares of our Class A common stock at a public offering price of $25.00 per share, which resulted in net proceeds of $713.3 million after deducting underwriting discounts and before deducting offering costs. We recognized $81.8 million of stock-based compensation expense related to the satisfaction of the performance-based vesting condition for outstanding RSUs for which the service-based vesting conditions were fully or partially satisfied upon the IPO. To meet the related tax withholding requirements for the net settlement of the vested RSUs,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withheld 709,106 shares of Class A common stock. Based on an IPO price of $25.00 per share, our tax withholding obligation was $17.7 million, which was paid during the year ended January 31, 2026.</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we have financed our operations primarily through sales of equity securities and debt, as well as cash generated from operations. Our principal uses of cash in recent periods have been funding our operations, investing in our business, technologies, and platform, capital expenditures, and various business acquisitions. As of April 30, 2026, our principal sources of liquidity were cash and cash equivalents of $518.4 million, which were held primarily for working capital purposes, and short-term investments of $ 162.2 million. Cash consisted of funds deposited with banks and a portion of the balance held with our corporate card payment processing partners that is not restricted to fund transactions charged by our corporate card users. Cash equivalents consisted of money market funds and commercial paper with an original maturity of three months or less at the date of purchase. Investments consisted of U.S. government and agency securities, commercial paper, and corporate bonds. Our investments are focused on preserving capital, maintaining sufficient liquidity for operations, and maximizing returns within our risk parameters. Our investment policy sets forth authorized investment categories, credit rating minimums, and maturity requirements. We believe these policies mitigate our exposure to any risk concentrations.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generated significant operating losses from our operations as reflected in our accumulated deficit of $2.0 billion as of April 30, 2026. We expect to continue to incur operating losses, and our operating cash flows may fluctuate between positive and negative amounts at least through the fiscal year ending January 31, 2027 due to investments we intend to make to support growth in our business, and the difference in timing of payments received from our customers as compared to payments made to vendors, including travel suppliers. As a result, we may require additional capital resources to execute strategic initiatives to grow our business.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cash and cash equivalents and cash provided by our operations, together with amounts available for borrowing under the Warehouse Credit Facility and the ABL Facility, will be sufficient to meet our requirements and plans for cash, including supporting working capital and capital expenditure requirements for at least the next 12 months and beyond. As of April 30, 2026, we had borrowing capacity of $250.0 million under the Warehouse Credit Facility, and outstanding borrowings of $118.2 million. As of April 30, 2026, we had borrowing capacity of $100.0 million under the ABL Facility, and outstanding borrowings of $6.0 million.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April 30, 2026, our principal commitments consist of obligations under the Warehouse Credit Facility, the ABL Facility, operating leases for office space, and non-cancelable purchase commitments primarily related to cloud hosting arrangements and software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Extinguished in Connection with IPO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2020, we issued convertible notes of $125.0 million in aggregate principal amount, net of $2.9 million in debt issuance costs, with an initial maturity of June 2025 (the “convertible notes”).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IPO, the convertible notes automatically converted into 12,827,963 shares of Class A common stock at a 35% discount to the IPO price. The Company recognized a $84.1 million loss on the debt extinguishment. The loss on extinguishment of debt is recognized within the condensed consolidated statements of operations during the year ended January 31, 2026.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January 31, 2026, we entered into simple agreements for future equity (“SAFEs”) with multiple investors in exchange for cash proceeds of $155.0 million. The SAFEs had an interest rate of 12% per annum. We issued common stock warrants to investors together with the SAFEs. The number of shares issued upon exercise of the common stock warrants was determined based on a fixed percentage of the fully diluted capitalization prior to the earliest to occur of (i) a deemed liquidation event, (ii) a liquidity event, and (iii) the date of exercise.</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incurred debt issuance costs of $2.9 million in connection with the issuance of the SAFEs and common stock warrants, which were expensed when incurred and are presented within other income, net in the accompanying condensed consolidated statements of operations.</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connection with the IPO, the SAFEs automatically converted into 7,851,008 shares of our Class A common stock at a 15% discount to the IPO price. The SAFE warrants became exercisable for a fixed number of shares, were reclassified to equity, and were exercised for 1,216,187 shares of Class A common stock in connection with the IPO.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Facility</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SOFR plus 5%, and PIK interest of 1.5%. Interest was payable every three months in arrears, and PIK interest was added to the principal balance and compounded every three months.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condensed consolidated balance sheets as additional paid-in capital.</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connection with the IPO, we paid $133.7 million to settle the Vista Facility and recognized a $ 13.3 million loss on the debt extinguishment. We did not incur a prepayment penalty because we prepaid the Vista Facility in connection with a qualified IPO. The common stock warrants issued in connection with the Vista Facility were net exercised for 486,005 shares of Class A common stock in connection with the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2022, Liquid Labs SPV, LLC (“Liquid Labs”), our wholly-owned subsidiary, entered into a loan agreement with a group of lenders for a revolving warehouse credit facility (the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50.0% of the committed amount. Any unused portion of the Warehouse Credit Facility will bear interest of 0.50% per annum. The Warehouse Credit Facility was established to finance our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Warehouse Credit Facility has been amended multiple times over the term to change the borrowing capacity and maturity date. As of April 30, 2026, the term of the Warehouse Credit Facility extends through February 18, 2028, the minimum utilization is 40% of the committed amount, and the borrowing capacity is $250.0 million.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Warehouse Credit Facility contains mandatory and optional redemption features upon an event of default and other potential additional interest provisions that are bifurcated and treated as embedded derivative liabilities under the accounting guidance ASC 815, Derivatives and Hedging. At inception of the Warehouse Credit Facility, and as of April 30, 2026 and January 31, 2026, the fair value of the embedded derivative liabilities was determined to be immaterial.</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incurred upfront commitment fees of $2.0 million for the Warehouse Credit Facility when the agreement was executed, an incremental $1.4 million upon the execution of various amendments in the year ended January 31, 2025, and an incremental $ 2.8 million upon the extension of the Warehouse Credit Facility during the year ended January 31, 2026. These upfront commitment fees were recorded as a deferred cost asset on the balance sheet and are amortized on a straight-line basis as incremental interest expense.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April 30, 2026, the Company had a total outstanding balance of $118.17 million on the Warehouse Credit Facility. The Warehouse Credit Facility contains certain affirmative or negative covenants, including maintaining certain levels of minimum liquidity, maximum leverage, and minimum tangible net worth. As of April 30, 2026 and January 31, 2026, we remain in compliance with the covenants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future, we may enter into additional warehouse facilities or other financing arrangements to fund the expansion of our corporate payments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2025, the Company entered into an asset-based lending revolving line of credit with Citibank, N.A., as agent for the lenders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April 30, 2026, the Company had a total outstanding balance of $6.0 million on the ABL Facility. The ABL Facility contains certain affirmative or negative covenants including, among other things, restrictions on repurchases of stock, dividends, and other distributions. As of April 30, 2026,we were in compliance with all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2025</w:t>
            </w:r>
          </w:p>
        </w:tc>
      </w:tr>
      <w:tr>
        <w:trPr>
          <w:trHeight w:val="196"/>
        </w:trPr>
        <w:tc>
          <w:tcPr>
            <w:tcW w:w="7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r>
      <w:tr>
        <w:trPr>
          <w:trHeight w:val="231"/>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(28,729)</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14,031</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62,009</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operating activities was $6.8 million for the three months ended April 30, 2026 as compared to net cash provided by operating activities of $4.6 million for the three months ended April 30, 2025. The increase in net cash used was primarily due the difference in timing of payments received from our customers as compared to payments made to vendors.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was $28.7 million for the three months ended April 30, 2026 as compared to $2.8 million for the three months ended April 30, 2025. The change was primarily driven by purchases of investments exceeding maturities, and by our funding of customer spend activity on our corporate cards surpassing payments from customers during the three months ended April 30, 2026 as compared to customer payments surpassing funding of customer spend activity during the three months ended April 30, 2025. Net cash used in or provided by corporate card spend and customer payment activity will vary from period to period depending on timing and volume of activity relative to period-end.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financing activities was $14.0 million for the three months ended April 30, 2026 as compared to $62.0 million for the three months ended April 30, 2025. The change was primarily driven by proceeds from the issuance of debt in excess of debt payments during the three months ended April 30, 2025, partially offset by proceeds received from stock option exercises during the three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certain estimates, judgments,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policies and estimates as described in our Annual Report on Form 10-K for the year ended January 31,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an "emerging growth company" under the Jumpstart Our Business Startups Act of 2012, as amended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condensed consolidated financial statements may not be comparable to companies that comply with new or revised accounting pronouncements applicable to public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 — Description of Business and Significant Accounting Policies in the notes to the condensed consolidated financial statements included elsewhere in this Quarterly Report on Form 10-Q for more information.</w:t>
      </w:r>
    </w:p>
    <w:p>
      <w:pPr>
        <w:spacing w:after="0" w:line="99" w:lineRule="exact"/>
        <w:rPr>
          <w:sz w:val="20"/>
          <w:szCs w:val="20"/>
          <w:color w:val="auto"/>
        </w:rPr>
      </w:pPr>
    </w:p>
    <w:p>
      <w:pPr>
        <w:ind w:right="5540"/>
        <w:spacing w:after="0" w:line="43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Foreign Currency Risk</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condensed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condensed consolidated statement of operations and have recorded net foreign currency exchange gains (losses) of $(3.8) million and $7.9 million for the three months ended April 30, 2026 and 2025.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April 30, 2026, we had cash, cash equivalents and short-term investments of $680.6 million. Cash, cash equivalents, and our investments consist of cash in banks and interest-bearing money market accounts, money market funds, U.S. government and agency securities, commercial paper, and corporate bonds. Our cash, cash equivalents, and short-investments are held for working capital and general corporate purposes. We do not enter into investments for trading or speculative purposes. Our investments are exposed to market risk due to fluctuations in interest rates, which may affect our interest income. However, due to the low-risk profile of our investments, an immediate 10% change in interest rates would not have a material effect on the fair market value of our cash, cash equivalents and investments.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April 30, 2026, a hypothetical 10% relative change in interest rates would not have a material impact on our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that evaluation, our principal executive officer and principal financial officer concluded that, as of the end of the period covered by this Quarterly Report on Form 10-Q,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to be set forth under this Item 1 is incorporated by reference to Note 10 — Commitments and Contingencies — Litigation in the notes to the Condensed Consolidated Financial Statements included in Part I, Item 1 of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Quarterly Report on Form 10-Q, including the section titled “Management’s Discussion and Analysis of Financial Condition and Results of Operations,” our condensed consolidated financial statements and the related notes included elsewhere in this Quarterly Report on Form 10-Q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Continued macroeconomic uncertainty, including as a result of fluctuating interest rates, inflation, tariffs, political unrest, geopolitical conflict,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growth has also been and may continue to be negatively impacted as our customers, particularly customers with whom we have historically high adoption or expansion rates, decrease, or do not increase, headcount, including in connection with their adoption of automation and other AI solutions, reduce T&amp;E budgets or otherwise increase scrutiny over IT spending for any reason. Over the last few years, adoption of remote work models has also become widespread, initially as a matter of necessity in response to the COVID-19 pandemic and more recently as a matter of company policy in light of 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 smaller companies with limited travel or IT budgets may in the future prefer to use teleconference and virtual meeting technologies indefinitely or substantially limit business travel spending.</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may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1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geopolitical conflict, and widespread health concerns, such as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125" w:lineRule="exact"/>
        <w:rPr>
          <w:sz w:val="20"/>
          <w:szCs w:val="20"/>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unrest or instability, including due to tariff policies;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security concerns caused by cyber-terrorism or other terrorist attacks, the threat of terrorist attacks, or the precautions taken in anticipation of such attacks, including elevated threat warnings or selective cancellation or redirection of travel;</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outbreak of hostilities, global conflict, or escalation or worsening of existing hostilities or war, such as the ongoing conflicts in Ukraine and the Middle East and tensions between China and Taiwan, in some cases resulting in adverse impacts to the cost of airline and other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oil prices, including as a result of geopolitical conflict, and related adverse impacts to the cost and availability of airline and other travel;</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sanctions imposed by the United States and other countries, including in response to geopolitical conflict, and retaliatory actions taken by sanctioned countries in response to such sanctions, and the resultant impact on the cost of airline and other travel and the level of travel demand;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visa and immigration policies or the imposition of travel restrictions or more restrictive security procedures;</w:t>
      </w:r>
    </w:p>
    <w:p>
      <w:pPr>
        <w:spacing w:after="0" w:line="171"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due to insufficient funding of aviation and other travel or transportation agencies or governmental bodies;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preferences from traditional hotel bookings to the use of alternative providers that are not available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actions or changes to regulations governing the travel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widespread health concerns or pandemics, such as the COVID-19 pandemic.</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have historically experienced and may in the future experience negative impacts to our business, financial condition, results of operations, and prospects from some or all of the above disruptions to business and consumer travel.</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Shifts in business travel trends or any decline in business travel demand would negatively impact our business, growth, results of operations, and financial condition.</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acquisition rates as well as reductions in usage of our offerings by our customers, which would negatively impact our business, results of operations, and financial condition.</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unable to attract new customers and grow our customer base, which would negatively impact our revenue growth and results of operations.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growth depends in large part on increasing our customer base and maintaining and increasing the revenue we generate from those customers. To increase our gross booking volume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to retain, and to expand the use of our platform within, our existing customers, including:</w:t>
      </w:r>
    </w:p>
    <w:p>
      <w:pPr>
        <w:spacing w:after="0" w:line="117"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demand for and trends in business travel among existing and potential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T&amp;E budgets and increased IT budget scrutiny at existing or potential customers;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establish, maintain, or expand relationships with key suppliers and other partners, including any related changes in commission rates that negatively impact us;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determine optimal pricing for our offerings, including in international markets;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successfully deploy new features and integrations or continue development or integration of Navan Cognition and related AI features and functionalities;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provide a quality customer experience and customer support; and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sales and marketing strategies, including if we spend time and funding on strategies that do not provide sufficient return on our investment.</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growth will also depend in part on capturing a greater portion of the unmanaged travel market. For example, if customers do not adopt Navan Edge at the rates that we anticipate, we may be unsuccessful in the effort to capture a greater portion of this market. If we are unsuccessful in our efforts to acquire new customers and increase our customer base, including due to any of the above factors, or if we do so in a way that is not profitable, our growth, business, results of operations, and financial condition would be harmed.</w:t>
      </w:r>
    </w:p>
    <w:p>
      <w:pPr>
        <w:spacing w:after="0" w:line="124" w:lineRule="exact"/>
        <w:rPr>
          <w:sz w:val="20"/>
          <w:szCs w:val="20"/>
          <w:color w:val="auto"/>
        </w:rPr>
      </w:pPr>
    </w:p>
    <w:p>
      <w:pPr>
        <w:jc w:val="both"/>
        <w:ind w:right="20"/>
        <w:spacing w:after="0" w:line="325" w:lineRule="auto"/>
        <w:rPr>
          <w:sz w:val="20"/>
          <w:szCs w:val="20"/>
          <w:color w:val="auto"/>
        </w:rPr>
      </w:pPr>
      <w:r>
        <w:rPr>
          <w:rFonts w:ascii="Arial" w:cs="Arial" w:eastAsia="Arial" w:hAnsi="Arial"/>
          <w:sz w:val="17"/>
          <w:szCs w:val="17"/>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 additional offerings at the rate we anticipate or at all, our business and prospects could be negatively impacted. The success of these additional offerings depends upon our ability to sell them to our existing travel management customers and on increasing utilization once adopted by our customers. Additionally, we recently announced the planned transition of customers of our R&amp;M service model to our Navan platform. We have been investing and expect to continue to invest in this and a number of other strategic growth initiatives to drive adoption of our offerings, but there can be no assurance that such investments will be effective on a timely basis or at all. In particular, we may experience more difficulty or fluctuations in adoption of our core Navan offering by former customers of the R&amp;M service model, including because we have experienced some challenges to customer retention in this customer group in the past. We may also see slower than anticipated expansion rates of our additional offerings by smaller customers in the unmanaged travel market, including due to their heightened focus on total cost of ownership and self-service models. In addition, 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In the past, we have experienced higher churn from customers of our R&amp;M service model than from customers of our Navan platform, and uncertainty exists regarding the degree to which the transition to the Navan technology platform will impact our relationships with existing customers of the R&amp;M service model. As a result of any of these factors, our business, financial condition, results of operations, and prospects may be adversely affected.</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 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 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Travel Management offerings depend on our relationships with suppliers.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the International Air Transport Association’s New Distribution Capability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Commissions on sales through global distribution systems (“GDSs”) are highly standardized, while direct supplier agreements are more variable and may involve higher commissions. If industry-wide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 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which may in turn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were incorporated in 2015 and have incurred net losses in each year since inception, and we may not achieve or, if achieved, sustain profitability in the future. We generated net losses of $398.0 million and $181.1 million for the years ending January 31, 2026 and 2025, and $20.5 million and $61.3 million for the three months ended April 30, 2026 and 2025.</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accumulated deficit of $2.0 billion as of April 30, 2026 and $2.0 billion as of January 31, 2026. While we experienced significant revenue growth in recent periods, we cannot predict whether we will maintain this level of growth or when we will achieve profitability. We are not certain whether or when our revenue will be sufficient to sustain or increase our growth or to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value of our business and Class A common stock may significantly decrease and our business, financial condition, results of operations, and prospects could be adversely affected.</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an investment in our Class A common stock.</w:t>
      </w:r>
    </w:p>
    <w:p>
      <w:pPr>
        <w:spacing w:after="0" w:line="10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We were incorporated in 2015, launched our Travel offering in 2016, introduced our Expense Management offerings in 2020, and in March 2026 launched our Navan Edge product.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IT investment. Accordingly, we have limited experience in, and data and results from, operating our business at its current scale, scope, and complexity and in a rapidly evolving market for business travel. We also have limited data from, and experience operating our business under current macroeconomic conditions, including elevated inflation, and interest rate and foreign</w:t>
      </w:r>
      <w:r>
        <w:rPr>
          <w:rFonts w:ascii="MS PGothic" w:cs="MS PGothic" w:eastAsia="MS PGothic" w:hAnsi="MS PGothic"/>
          <w:sz w:val="18"/>
          <w:szCs w:val="18"/>
          <w:color w:val="auto"/>
        </w:rPr>
        <w:t>‐</w:t>
      </w:r>
      <w:r>
        <w:rPr>
          <w:rFonts w:ascii="Arial" w:cs="Arial" w:eastAsia="Arial" w:hAnsi="Arial"/>
          <w:sz w:val="18"/>
          <w:szCs w:val="18"/>
          <w:color w:val="auto"/>
        </w:rPr>
        <w:t>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implementation, and integration of Navan Cognition, our proprietary AI framework for our platform, and related AI features and functionalities for our platform such as Navan Edge.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 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results of operations may fluctuate as a result of a number of factors, many of which are outside of our control and may be difficult to predict, including:</w:t>
      </w:r>
    </w:p>
    <w:p>
      <w:pPr>
        <w:spacing w:after="0" w:line="12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drive adoption of our offerings beyond Travel Management, including our Expense Management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integrating AI into our offerings and expanding our use of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our suppliers, and to identify and attract new suppliers;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overall demand for business travel due to technological changes or changes in business practices, including as a result of current macroeconomic conditions;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including due to insufficient funding of aviation and other travel or transportation agencies or governmental bodies;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including the mix of hotel and air travel booked each quarter;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demand fluctuations, such as reduced travel by our users during holiday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customers’ T&amp;E budgets and IT spending budgets;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and existing customers choosing our competitors’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or introduction of new products or services that are easier to use or more advanced than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 in market interest and foreign exchange rates, and the impact of inflation and instability in the global banking system on the United States and global economies;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geopolitical conflicts, such as the ongoing conflicts in Ukraine and the Middle East, including related sanctions implemented by other countries, disruptions in energy supply routes and volatility in energy markets on global travel patterns and financial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unrest or instability;</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execute acquisitions and integrate acquired businesses, and their accounting impact on our results of operations, including impairment of goodwill;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 or changes in our accounting policies or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of, technical difficulties with, or interruptions to, the delivery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In addition, our results may fluctuate based on the relative volume of flights and hotel stays booked on our platform, as we tend to collect higher commissions on hotel reservations than air travel.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we expect to incur significant additional expenses due to the increased costs of operating as a public company. If our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R&amp;M, a global travel management provider headquartered in the United Kingdom;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position or ability to achieve our business objectives, and any acquisitions we complete could be viewed negatively by our customers or investors.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encountered and may in the future encounter difficulties assimilating or integrating the businesses, technologies, products and platform capabilities, personnel, or operations of our acquired companies, assets, and businesses, particularly if key personnel of an acquired company choose not to work for us, their software is not easily adapted to work with our platform, or we have difficulty retaining the customers of any acquired business due to changes in, management, product offerings,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and increasing our expenses, any of which could adversely affect our business, financial condition, results of operations, and prospects.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to the remediation of any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amount of our revenue is derived from customers from outside the United States, and we plan to continue expanding our operations internationally in the future. Revenue generated from customers outside of the United States was $266.4 million, or 38% of our revenue, and $221.0 million, or 41% of our revenue, for the years ended January 31, 2026 and 2025, respectively, and was $75.5 million, or 34% of our revenue, and $61.7 million, or 39% of our revenue, for the three months ended April 30, 2026 and 2025, respectively. Outside of the United States, we currently have direct and indirect subsidiaries in many countries, including the United Kingdom, France, Israel, Singapore, India, the United Arab Emirates, and Australia, and we have employees in more than 15 countries. Operating in international markets requires significant resources and management attention and subjects us to regulatory, economic, and political risks that are different from those in the United States. In addition, there are significant costs and risks inherent in conducting business in international markets, including: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effective controls at foreign locations and the associated increased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adapting our platform and offerings to non-U.S. consumers’ preferences and customs;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localizing our platform and features for specific countries, including translation into foreign languages, tax, and regulatory updates and associated expenses;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our platform and offerings to cover travel methods and providers that are not part, or do not reflect a significant portion, of our offering in the United States;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local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foreign laws, regulations, and licensing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adapting to doing business in other languages and/or cultures;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of 1977 (the “FCPA”) and the UK Bribery Act 2010 (the “UK Bribery Act”) by us, our team members, our suppliers, and our other partners;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foreign legal requirements, including legal requirements related to data privacy and security frameworks, such as the European Union, and UK General Data Protection Regulations, and other data privacy and security laws that impose different and potentially conflicting obligations with respect to how personal data is processed or require that customer data be stored in a designated territory;</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and related effects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 and practical difficulties of enforcing rights abroad;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costs of doing business internationally.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 engagement with additional offerings. Our growth and business strategy are dependent on our ability to successfully execute our sales strategies at increasing scale.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 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product-led growth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sales-led growth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incorporated AI-based solutions into our offerings, including through our Navan Cognition framework that powers Navan Edge, Ava and our other virtual agents. As with many innovations, AI presents risks, challenges, and unintended consequences that could impact our ability to successfully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us. We have made significant investments in our AI technology, including in our Navan Cognition framework that powers our agentic product offerings that are critical tools in the efficient scaling of our platform. Our ability to deploy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may need to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13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corporate card offering exposes us to credit risk and other risks related to customers' ability to pay the balances incurred on their corporate cards.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our corporate card product to a wide range of businesses, and the success of this product depends on our ability to effectively manage related risks and detect fraud. The credit decision -making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 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relationships with such funding sources and result in increased costs of financing, modification or termination of our existing funding arrangements, or impairment of our ability to procure funding, which could adversely affect our business, financial condition, results of operations, and prospects.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of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 telecommunications failures, unauthorized intrusion, computer viruses, disabling devices, natural disasters, military actions, terrorist attacks, negligence, and other similar events beyond our control could negatively affect our platform.</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 security incidents that compromise the confidentiality, integrity, or availability of systems they operate for us or the information they process on our behalf.</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and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or cause us to lose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of losses they cause us to incur.</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 not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offerings.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and Navan Edge offerings are nascent, and there can be no assurance that either will reach the level of customer adoption that they were designed to achieve. We may not be able to develop new offerings successfully or to introduce and gain market acceptance of new offerings in a timely manner, or at all. If 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Navan Edge,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 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significant competition in the markets we serve, and if we do not compete effectively, our business, results of operations, and financial condition could be harmed.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not able to control or predict the actions of our customers or users during their engagement with our platform or otherwise. 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If the fraudulent activity occurs through systems controlled by any of our partners, such as our suppliers, we may be unable to remediate or prevent this activity in a timely manner or at all due to limitations in our ability to interact with such systems. The process of identifying the full scope of losses often requires extensive investigation, potentially delaying financial reporting and creating additional operational challenges.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failure to adequately detect, address, or prevent these fraudulent transactions could result in multiple adverse consequences beyond direct financial losses, including:</w:t>
      </w:r>
    </w:p>
    <w:p>
      <w:pPr>
        <w:spacing w:after="0" w:line="9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damage to our reputation and brand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and regulatory action across multiple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errors in financial statements potentially requiring corrections or restatements;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preparing and filing periodic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to meet our reporting and other obligations as a public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expenses for remediation and enhanced security measures.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If criminal, inappropriate, or other negative incidents occur due to the conduct of third parties, our ability to attract and retain customers may be harmed, and our reputation, business, and financial results could be harmed.</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the prices we charge in connection with our offerings are unacceptable to our customers, our business, financial condition, and results of operations may be adversely impacted.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abilities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markets in which we compete achieve the forecasted growth, our business could fail to grow at similar rates, if at all.</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estimates of market opportunity and forecasts of market growth may prove to be inaccurate. Such estimates and forecasts, including those we have generated ourselves or that include our data, are subject to significant uncertainty and are based on assumptions and estimates that may not prove to be accurate including due to the risks described herein. Even if the markets in which we compete achieve the forecasted growth, our business could fail to grow at similar rates, if at all.</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our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should not be taken as indicative of our future growth.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People</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in the Middle East may impact their safety and availability, potentially disrupting our operations and business continuity.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there may be changes in our management team resulting from the hiring or departure of executives and key employees, which could disrupt our business. In addition, we may face challenges retaining senior management of and key employees of companies we have acquired, especially as we work to fully integrate those companies into the Navan platform. Our senior management and key employees are employed on an at-will basis. We currently do not have “key person” insurance for any of our employees. Certain of our key employees have been with us for a long period of time and have fully vested equity awards that may cease to be effective as a retention incentive now that we are a public company and such awards are publicly tradable. The loss of our founders,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or other key employees or that we would be able to timely replace members of our senior management or other key employees should any of them depart.</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 certain visas. Many of the companies with which we compete for experienced personnel have greater resources than we do and can frequently offer such personnel substantially greater compensation than we can offer.</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value of our equity or equity awards declines, continues to experience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or geopolitical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now that our Class A common stock is publicly traded, many of our employees may be eligible to receive significant proceeds from the sale of Class A common stock in the public markets. This may lead to higher employee attrition rates. If we do not replace departing employees on a timely basis, our business and growth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Cybersecurity, and Intellectual Property</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 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several foreign countries and governmental bodies, including the European Union and the United Kingdom,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 (the “EU GDPR”) the United Kingdom Data Protection Act of 2018 that effectively implemented EU GDPR under UK law and later amended by virtue of the European Union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Act 2018 (collectively, the “UK GDPR”) other EU member state-implementing legislation, and the privacy laws of many other foreign jurisdictions.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the EU GDPR and the UK GDPR impose stringent requirements for controllers and processors of personal data of individuals within the European Economic Area (the “EEA”) and the United Kingdom, respectively, and non-compliance may trigger robust regulatory investigation or enforcement and fines of up to the greater of € 20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by law to represent their interests. Other countries outside of Europe increasingly emulate European data protection laws. As another example, the General Data Protection Law (Lei Geral de Proteção de Dados Pessoais, Law No. 13,709/2018) (the “LGPD”) applies to our operations. The LGPD broadly regulates processing personal data of individuals in Brazil and imposes compliance obligations and penalties comparable to those of the EU GDPR. The Swiss Federal Act on Data Protection also applies to the collection and processing of personal data, including health -related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Operating our business and offering our services in Europe and other countries with similar data protection laws subjects us to substantial compliance costs and potential liability and may in the future require changes to the ways we collect and use personal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ordinary course of business, we transfer personal data from Europe and other jurisdictions to the United States and other countries. Countries in Europe and other jurisdictions have enacted laws requiring data to be localized and limiting the transfer of personal data to other countries. In particular, the EEA and the United Kingdom have significantly restricted the transfer of personal data to the United States and other countries whose privacy laws they generally believe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 standard contractual clauses, the UK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(such as China, Russia, and Iran) and covered persons (i.e., individuals and entities who are designated as such by the U.S. Attorney General or considered “foreign persons” and are majority owned by, organized under the laws of, a primary resident in, or a contractor of, a covered person or country of concern,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applicable)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 application providers, customers, travelers, suppliers, and other partners to lose trust in us, which could harm our business, financial condition, results of operations, and prospects.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United Kingdom,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our business relies significantly on our ability to accept credit or debit card payments. Such payments are subject to the Payment Card Industry, or PCI, Data Security Standard (“DSS”), which is a multifaceted security standard that is designed to protect credit card account data. We rely on vendors to handle PCI matters and to ensure PCI compliance. Despite our compliance efforts, we may become subject to claims that we have violated the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with whom we work have in some cases failed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whom we work, such as through phishing or supply chain attacks.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employ a shared responsibility model where our customers are responsible for using, configuring and otherwise implementing security measures related to our platform and offerings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perceived to be inadequate or breached,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we may incur significant liability and financial loss and be subject to regulatory scrutiny, investigations, proceedings, and penalties.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fees of such software systems, and which are subject to change by such providers from time to time. Our business will be harmed if any provider of such software systems:</w:t>
      </w:r>
    </w:p>
    <w:p>
      <w:pPr>
        <w:spacing w:after="0" w:line="9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(including legacy software) or APIs;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open-source software in our platform, which could subject us to litigation or other actions.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open-source software on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use of artificial intelligence, including generative artificial intelligence and machine learning, gives rise to legal, business, and operational risks, which may result in diminished performance, regulatory scrutiny, social impacts, reputational harm, and liability arising from the use of this technology.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use artificial intelligence (“AI”), including generative AI (“Gen AI”) and machine learning (“ML”), in our platform framework and our offerings, as well as new agentic AI and Gen AI developments, including in our Navan Cognition framework and product interface enhancements such as Navan Edge.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 -party AI, including Gen AI and ML, technologies become incompatible with our offerings or unavailable for use or have degradations in performance, or if the providers of such models unfavorably change the terms on which their AI, including Gen AI and ML, technologies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offered or terminate their relationship with us, our solutions may become less appealing to our customers. 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 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We may have to adapt our business practices, contractual arrangements, and services to comply with such obligations. We expect other jurisdictions will adopt similar laws.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Existing laws and regulations may also be interpreted in ways that would affect the operation of and availability of IP protection for our AI, including Gen AI and ML, technologies, as well as the outputs from our use of such technologies. Further, countries and states are applying their data and consumer protection laws to AI technologies, and particularly generative AI and interactive chatbots.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requires us to expend resources and adjust our offerings or services in certain jurisdictions. Further, 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model, including Gen AI or ML, ingests personal data and makes connections using such data, those technologies may reveal other personal or sensitive information generated by the model.</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 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us, or if such intellectual property is later found to be owned by others, we could face claims of infringement, be required to obtain additional licenses on unfavorable terms, or lose valuable rights, any of which could adversely affect our business, financial condition, results of operations, and prospects.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 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reliance on third parties, including employees located outside of the United States, for the development of our intellectual property exposes us to additional risks, including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enforceability of intellectual property rights, potential violations of U.S. export controls, and increased risk of intellectual property theft or misappropriation.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or may become material to our business. Our failure to comply could harm our business.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 laundering, counter-terrorism financing, escheatment, U.S. and international sanctions regimes, and compliance with the PCI-DSS.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 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 and desist orders, if we are found to violate these laws, and our relationships with our financial institution partners could be at risk of or could be subject to termination or other adverse consequences.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risks associated with the growth of our business with certain heavily regulated industry verticals.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and sell our offerings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applicable to our activities with customers in such verticals, our business, financial condition, and results of operations may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future litigation against us could be costly and time-consuming to defend.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In addition, in the past, following periods of volatility in the overall market and the market prices of a particular company’s securities, securities class action litigation has often been instituted. For example, on February 23, 2026, a putative securities class action complaint was filed against us and our directors and certain of our current and former executive officers in the U.S. District Court for the Northern District of California alleging violation of the Securities Act by making materially false and misleading statements about our sales and marketing expenses in our IPO offering documents.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 as a result of changes in tax laws.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in 2025 the U.S. government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(the “OECD”) and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Commission. For example, the OECD has been leading multilateral efforts on proposals, commonly referred to as “BEPS 2.0”, which include, among other measures, the imposition of a minimum effective corporate tax rate (referred to as “Pillar Two”). A number of countries in which we conduct business have enacted, or are in the process of enacting, core elements of the Pillar Two rules (with further provisions expected to be enacted in the future). Based on our understanding of the applicable minimum revenue thresholds, we currently expect that we do not fall within the scope of the Pillar Two rules. However, if we become subject to the Pillar Two rules in the future, it could increase our overall tax obligations and result in additional compliance costs. We are monitoring developments and evaluating the potential impact of the Pillar Two rules and assessing our eligibility for applicable transitional and safe harbor provisions (including the additional safe harbor published by the OECD on January 5, 2026 as part of its proposed “side-by-side” arrangement, which applies to multinational groups headquartered in certain qualifying jurisdictions, which includes the United States).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2026, we had net operating loss (“NOL”) carryforwards of approximately $841.5 million, $702.2 million and $19.8 million for federal, state, and foreign tax purposes, respectively, that are available to reduce future taxable income. Under current U.S. federal income tax law, our NOLs generated in tax years beginning before January 1, 2018 will begin expiring in 2036, and our NOLs generated in tax years beginning after December 31, 2017 may be carried forward indefinitely, but utilization of such post-2017 NOLs that are carried forward to taxable years beginning after December 31, 2020 is limited to a maximum of 80% of the taxable income for such year determined without regard to such carryforwards. Our state NOL carryforwards will begin to expire in 2027. Our foreign NOLs will carryforward indefinitely. As of January 31, 2026, we had available research and development tax credit carryforwards of approximately $17.0 million and $13.2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or tax credit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will significantly impact our ability to use our NOL or tax credit carryforwards. We may have experienced additional ownership changes that have not yet been identified that could result in the expiration of our NOL or tax credit carryforwards before utilization.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may experience ownership changes as a result of future stock offerings or other changes in the ownership of our stock. Future changes in our stock ownership, many of which are outside of our control, could result in an ownership change under Sections 382 or 383 of the Code. Furthermore, our ability to utilize NOL or tax credit carryforwards of companies that we acquire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limitations. For these reasons, we may not be able to utilize a significant portion of our NOL or tax credit carryforwards, even if we were to achieve profitability. In addition, any future changes in tax laws could impact our ability to utilize NOL or tax credit carryforwards in future years and may result in greater tax liabilities than we would otherwise incur and adversely affect our cash flows and financial position.</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 cash flows in the period or periods for which a determination is made, and could significantly harm our business, financial condition,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71" w:lineRule="exact"/>
        <w:rPr>
          <w:sz w:val="20"/>
          <w:szCs w:val="20"/>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U.S. and international jurisdictions in which we operate due to differing statutory tax rates in various jurisdictions;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international operations, corporate structure, business model, or intercompany arrangements;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71" w:lineRule="exact"/>
        <w:rPr>
          <w:sz w:val="20"/>
          <w:szCs w:val="20"/>
          <w:color w:val="auto"/>
        </w:rPr>
      </w:pPr>
    </w:p>
    <w:p>
      <w:pPr>
        <w:ind w:right="1680"/>
        <w:spacing w:after="0" w:line="439" w:lineRule="auto"/>
        <w:rPr>
          <w:sz w:val="20"/>
          <w:szCs w:val="20"/>
          <w:color w:val="auto"/>
        </w:rPr>
      </w:pPr>
      <w:r>
        <w:rPr>
          <w:rFonts w:ascii="Arial" w:cs="Arial" w:eastAsia="Arial" w:hAnsi="Arial"/>
          <w:sz w:val="18"/>
          <w:szCs w:val="18"/>
          <w:color w:val="auto"/>
        </w:rPr>
        <w:t xml:space="preserve">Any of these developments could adversely affect our business, financial condition, results of operations, and prospects. </w:t>
      </w:r>
      <w:r>
        <w:rPr>
          <w:rFonts w:ascii="Arial" w:cs="Arial" w:eastAsia="Arial" w:hAnsi="Arial"/>
          <w:sz w:val="18"/>
          <w:szCs w:val="18"/>
          <w:b w:val="1"/>
          <w:bCs w:val="1"/>
          <w:color w:val="auto"/>
        </w:rPr>
        <w:t>Risks Related to Financial and Accounting Matters</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Critical Accounting Policies and Estimates” in our Annual Report on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 adverse deviation from our revenue and operating profit target, which may negatively impact our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(the “Sarbanes-Oxley Act”), (ii) reduced disclosure obligations regarding executive compensation in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could be an emerging growth company for up to five fiscal years following the completion of our IPO. However, certain circumstances could cause us to lose that status earlier, including the date on 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condensed consolidated financial statements may therefore not be comparable to those of companies that comply with such new or revised accounting standards.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share price may be more volatile and may decline.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increased costs and demands on management resources as a result of operating as a public company.</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public company, we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Regulations and standards relating to corporate governance and public disclosure, including the Sarbanes-Oxley Act, and the related rules and regulations implemented by the Securities and Exchange Commission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 cost. In the future, it may be more expensive or more difficult for us to obtain directors’ and officers’ liability insurance, and we may be required to accept reduced coverage or incur substantially higher costs to obtain coverage. These factors would also make it more difficult for us to attract and retain qualified members of our board of directors, 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R&amp;M subsidiary, resulting in a series of adjustments, including controls and procedures:</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ensure journal entries are properly reviewed and approved;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ensure compliance with GAAP, specifically as it relates to accounting for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We completed our remediation efforts, including the testing of the operating effectiveness of the controls, and we have concluded that the material weakness has been remediated as of the end of fiscal 2025.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Section 404 of the Sarbanes-Oxley Act requires that we include a report of management on our internal control over financial reporting in our annual report on Form 10-K beginning with our second annual report.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 We will be required to include a management’s report on internal control over financial reporting in our annual report on Form 10-K for the fiscal year ending January 31, 2027.</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resources and management oversight are required now that we are a public company, and even more resources will be required once we are no longer an emerging growth company. As a result, management’s attention may be diverted from other business concerns, which could harm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debt-service obligations may adversely affect our financial condition and results of operations.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multiple debt arrangements that are significant to our business, as described further under “Management’s Discussion and Analysis of Financial Condition and Results of Operations―Liquidity and Capital Resources―Debt Obligations.”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99" w:lineRule="exact"/>
        <w:rPr>
          <w:sz w:val="20"/>
          <w:szCs w:val="20"/>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covenants or other terms of these agreements, which has happened in the past or may occur in the future, and do not obtain a waiver from the lenders, then, subject to applicable cure periods, any outstanding indebtedness may be declared immediately due and payable. For additional information regarding the Warehouse Credit Facility (as defined in “Management’s Discussion and Analysis of Financial Condition and Results of Operations”), see “Management’s Discussion and Analysis of Financial Condition and Results of Operations―Liquidity and Capital Resources―Debt Obligations—Warehouse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were to incur additional debt, the debt holders would have rights senior to holders of Class A common stock to make claims on our assets, and the terms of any new debt could further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trading prices for technology companies have been and may continue to be highly volatile, including due to evolving artificial intelligence technologies, interest rate fluctuations, inflation, and the uncertain macroeconomic and geopolitical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investors could lose all or part of their investment.</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trading price of our Class A common stock could be subject to wide fluctuations in response to numerous factors in addition to the ones described in this “Risk Factors” section, many of which are beyond our control, including the following:</w:t>
      </w:r>
    </w:p>
    <w:p>
      <w:pPr>
        <w:spacing w:after="0" w:line="99"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GBV, payment volume, revenue, gross margins, and other results of operations as well as in demand for business travel;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the travel industry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sentiment regarding AI-related business models, our competitors, and our industry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Class A common stock by us or our stockholders;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third-party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macroeconomic conditions, including rising interest rates, inflation, foreign currency fluctuation, instability in the global banking system, risks of economic recession, and slow or negative growth of our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unrest or instability; and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the ongoing conflicts in Ukraine and the Middle East and tensions between China and Taiwan.</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For example, on February 23, 2026, a putative securities class action complaint was filed against us in the U.S. District Court for the Northern District of California. The lawsuit alleges we violated the Securities Act by making materially false and misleading statements about our sales and marketing expenses in our IPO offering documents. This suit, or additional potential litigation, could result in substantial costs and divert our management’s attention and resources from our business. This could adversely affect our business, financial condition, results of operations, and prospects.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For example, the significant number of shares underlying outstanding equity awards and shares reserved for future issuance under our 2025 Equity Incentive Plan (the “2025 Plan”) could result in substantial dilution if such awards are exercised or vested, which may adversely affect the market price of our Class A common stock. As of April 30, 2026, there were 56.3 million shares of Class A common stock issuable upon the exercise of outstanding stock options or subject to vesting of outstanding restricted stock units, or RSU, awards. We have registered all of the shares of Class A common stock issuable upon exercise of outstanding stock options and upon the settlement of RSU awards for public resale under the Securities Act. Accordingly, these shares are freely salable in the public market upon issuance subject to compliance with applicable securities laws. Including the aforementioned outstanding equity awards, as of April 30, 2026, there were approximately 39.2 million shares of common stock reserved and available for future issuance under the 2025 Plan which may become available for public resale to the extent we issue future equity incentive awards pursuant to these plans and such awards vest and are exercised or settle according to their terms.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4, 2026, the holders of 115,302,421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 or otherwise. If we are unable to effectively manage the risks relating to the price of our Class A common stock, our business, financial condition, results of operations, and prospects could be adversely affected.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Class B common stock has 30 votes per share, and our Class A common stock, which is the stock we have listed for trading on Nasdaq, has one vote per share. Our co-founders together hold all of the issued and outstanding shares of our Class B common stock. Accordingly, Ariel Cohen, our co-founder, Chief Executive Officer, and a member of our board of directors, currently holds, together with his affiliates, approximately 24% of the voting power of our outstanding capital stock; and Ilan Twig, our co-founder, Chief Technology Officer, and a member of our board of directors, currently holds, together with his affiliates, approximately 43% of the voting power of our outstanding capital stock, which voting power may increase over time upon the exercise or settlement and exchange of equity awards held by our co-founders pursuant to their equity exchange rights. Therefore, our co-founders, individually or together, are able to significantly influence matters submitted to our stockholders for approval, including the election of directors, amendments of our organizational documents and any merger, consolidation, sale of all or substantially all of our assets or other major corporate transactions. Additionally,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such that Mr. Cohen will have exclusive voting control over such shares, and such shares will remain as Class B common stock. Our co-founders, individually or together, may have interests that differ from those of our other stockholders and may vote in a way with which other stockholders disagree and which may be adverse to other stockholders’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transfers effected for estate planning. In addition, each outstanding share of Class B common stock will convert automatically into a share of Class A common stock upon the earliest to occur following this offering: (i) the date fixed by our board of directors that is no less than 61 days and no more than 180 days following the first date following the completion of our IPO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our IPO; (ii) the last trading day of the fiscal year following the tenth anniversary of our IPO;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 on which Mr. Cohen is terminated for cause (as defined in our amended and restated certificate of incorporation); and (v) twelve months after Mr. Cohen’s death or disability (as defined in our amended and restated certificate of incorporation). If we are unable to effectively manage these risks, our business, financial condition, results of operations, and prospects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their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and notwithstanding our automatic termination provisions,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could in the future be, subject to securities class action litigation.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For example, on February 23, 2026, a putative securities class action complaint was filed against us alleging we violated the Securities Act by making materially false and misleading statements about our sales and marketing expenses in our IPO offering documents. This suit, or similar litigation, if instituted, could result in substantial costs and a diversion of management’s attention and resources, which could adversely affect our business, financial condition, results of operations, and prospects.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dramatic increase in the cost of directors’ and officers’ liability insurance as a result of becoming a public company may cause us to opt for lower overall policy limits or to forgo insurance that we may otherwise rely on to cover significant defense costs, settlements, and damages awarded to plaintiffs.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“Management’s Discussion and Analysis of Financial Condition and Results of Operations―Liquidity and Capital Resources―Debt Obligations.”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more difficult for stockholders to replace members of our board of directors. Among other things, our amended and restated certificate of incorporation and amended and restated bylaws include provisions that:</w:t>
      </w:r>
    </w:p>
    <w:p>
      <w:pPr>
        <w:spacing w:after="0" w:line="9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voting by our stockholders to amend some provisions in our amended and restated certificate of incorporation and amended and restated bylaws;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a majority of our board of directors will be authorized to call a special meeting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directors may only be removed “for cause” and only with the approval of at least 66 2/3% of the voting power of our then-outstanding capital stock;</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may have the ability to significantly influence the outcome of matters requiring stockholder approval, including the election of directors and other significant corporate transactions, such as a merger or other sale of our company or its assets, even if they own significantly less than a majority of the outstanding shares of our common stock;</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advance-notice requirements for nominations for election to our board of directors or for proposing matters that can be acted upon by stockholders at annual stockholder meetings.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regulations thereunder. Our amended and restated certificate of incorporation provides that the federal district courts of the United States will, to the fullest extent permitted by law, be the exclusive forum for resolving any complaint asserting a cause of action arising under the Securities Act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stockholders will not be deemed to have waived our compliance with the federal securities laws and the regulations promulgated thereunder.</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energy market volatility,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adversely affected by natural disasters, pandemics, cyberattacks and other catastrophic events, and by man-made problems such as terrorism, that could disrupt our business operations, and our business continuity and disaster recovery plans may not adequately protect us from a serious disaster.</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negatively impact our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condition, results of operations, and prospects. Our business operations are also subject to interruption by 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13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 transactional and translational remeasurement that is reflected in our earnings. In addition, we incur expenses for employee compensation and other operating expenses at our non-U.S.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6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vMerge w:val="restart"/>
          </w:tcPr>
          <w:p>
            <w:pPr>
              <w:spacing w:after="0"/>
              <w:rPr>
                <w:sz w:val="19"/>
                <w:szCs w:val="19"/>
                <w:color w:val="auto"/>
              </w:rPr>
            </w:pP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3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0000FF"/>
              </w:rPr>
              <w:t>Confirmatory Offer Letter between Aurélien Nolf and Navan, Inc., dated</w:t>
            </w:r>
          </w:p>
        </w:tc>
        <w:tc>
          <w:tcPr>
            <w:tcW w:w="0" w:type="dxa"/>
            <w:vAlign w:val="bottom"/>
          </w:tcPr>
          <w:p>
            <w:pPr>
              <w:spacing w:after="0"/>
              <w:rPr>
                <w:sz w:val="1"/>
                <w:szCs w:val="1"/>
                <w:color w:val="auto"/>
              </w:rPr>
            </w:pPr>
          </w:p>
        </w:tc>
      </w:tr>
      <w:tr>
        <w:trPr>
          <w:trHeight w:val="155"/>
        </w:trPr>
        <w:tc>
          <w:tcPr>
            <w:tcW w:w="20" w:type="dxa"/>
            <w:vAlign w:val="bottom"/>
            <w:tcBorders>
              <w:top w:val="single" w:sz="8" w:color="auto"/>
            </w:tcBorders>
            <w:vMerge w:val="continue"/>
          </w:tcPr>
          <w:p>
            <w:pPr>
              <w:spacing w:after="0"/>
              <w:rPr>
                <w:sz w:val="13"/>
                <w:szCs w:val="13"/>
                <w:color w:val="auto"/>
              </w:rPr>
            </w:pPr>
          </w:p>
        </w:tc>
        <w:tc>
          <w:tcPr>
            <w:tcW w:w="560" w:type="dxa"/>
            <w:vAlign w:val="bottom"/>
            <w:tcBorders>
              <w:top w:val="single" w:sz="8" w:color="auto"/>
            </w:tcBorders>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February 3, 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Non-Employee Director Compensation Policy, as amended April 8, 2026</w:t>
            </w:r>
          </w:p>
        </w:tc>
        <w:tc>
          <w:tcPr>
            <w:tcW w:w="5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vMerge w:val="restart"/>
          </w:tcPr>
          <w:p>
            <w:pPr>
              <w:spacing w:after="0"/>
              <w:rPr>
                <w:sz w:val="20"/>
                <w:szCs w:val="20"/>
                <w:color w:val="auto"/>
              </w:rPr>
            </w:pPr>
            <w:r>
              <w:rPr>
                <w:rFonts w:ascii="Arial" w:cs="Arial" w:eastAsia="Arial" w:hAnsi="Arial"/>
                <w:sz w:val="18"/>
                <w:szCs w:val="18"/>
                <w:color w:val="0000FF"/>
                <w:w w:val="97"/>
              </w:rPr>
              <w:t>31.</w:t>
            </w:r>
            <w:r>
              <w:rPr>
                <w:rFonts w:ascii="Arial" w:cs="Arial" w:eastAsia="Arial" w:hAnsi="Arial"/>
                <w:sz w:val="18"/>
                <w:szCs w:val="18"/>
                <w:u w:val="single" w:color="auto"/>
                <w:color w:val="0000FF"/>
                <w:w w:val="97"/>
              </w:rPr>
              <w:t>1#</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0000FF"/>
              </w:rPr>
              <w:t>Certification of Principal Executive Officer, as required by Section 302 of the</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0" w:type="dxa"/>
            <w:vAlign w:val="bottom"/>
            <w:tcBorders>
              <w:bottom w:val="single" w:sz="8" w:color="0000FF"/>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Sarbanes-Oxley Act of 2002</w:t>
            </w:r>
          </w:p>
        </w:tc>
        <w:tc>
          <w:tcPr>
            <w:tcW w:w="3720" w:type="dxa"/>
            <w:vAlign w:val="bottom"/>
            <w:tcBorders>
              <w:top w:val="single" w:sz="8" w:color="0000FF"/>
            </w:tcBorders>
            <w:gridSpan w:val="3"/>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0" w:type="dxa"/>
            <w:vAlign w:val="bottom"/>
            <w:vMerge w:val="restart"/>
          </w:tcPr>
          <w:p>
            <w:pPr>
              <w:spacing w:after="0"/>
              <w:rPr>
                <w:sz w:val="20"/>
                <w:szCs w:val="20"/>
                <w:color w:val="auto"/>
              </w:rPr>
            </w:pPr>
            <w:r>
              <w:rPr>
                <w:rFonts w:ascii="Arial" w:cs="Arial" w:eastAsia="Arial" w:hAnsi="Arial"/>
                <w:sz w:val="18"/>
                <w:szCs w:val="18"/>
                <w:color w:val="0000FF"/>
                <w:w w:val="97"/>
              </w:rPr>
              <w:t>31.</w:t>
            </w:r>
            <w:r>
              <w:rPr>
                <w:rFonts w:ascii="Arial" w:cs="Arial" w:eastAsia="Arial" w:hAnsi="Arial"/>
                <w:sz w:val="18"/>
                <w:szCs w:val="18"/>
                <w:u w:val="single" w:color="auto"/>
                <w:color w:val="0000FF"/>
                <w:w w:val="97"/>
              </w:rPr>
              <w:t>2#</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7"/>
          </w:tcPr>
          <w:p>
            <w:pPr>
              <w:spacing w:after="0" w:line="203" w:lineRule="exact"/>
              <w:rPr>
                <w:sz w:val="20"/>
                <w:szCs w:val="20"/>
                <w:color w:val="auto"/>
              </w:rPr>
            </w:pPr>
            <w:r>
              <w:rPr>
                <w:rFonts w:ascii="Arial" w:cs="Arial" w:eastAsia="Arial" w:hAnsi="Arial"/>
                <w:sz w:val="18"/>
                <w:szCs w:val="18"/>
                <w:color w:val="0000FF"/>
              </w:rPr>
              <w:t>Certification of Principal Financial Officer, as required by Section 302 of the</w:t>
            </w: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Sarbanes-Oxley Act of 2002</w:t>
            </w: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vMerge w:val="restart"/>
          </w:tcPr>
          <w:p>
            <w:pPr>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p>
        </w:tc>
        <w:tc>
          <w:tcPr>
            <w:tcW w:w="440" w:type="dxa"/>
            <w:vAlign w:val="bottom"/>
            <w:gridSpan w:val="3"/>
            <w:vMerge w:val="restart"/>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7"/>
          </w:tcPr>
          <w:p>
            <w:pPr>
              <w:spacing w:after="0" w:line="203" w:lineRule="exact"/>
              <w:rPr>
                <w:sz w:val="20"/>
                <w:szCs w:val="20"/>
                <w:color w:val="auto"/>
              </w:rPr>
            </w:pPr>
            <w:r>
              <w:rPr>
                <w:rFonts w:ascii="Arial" w:cs="Arial" w:eastAsia="Arial" w:hAnsi="Arial"/>
                <w:sz w:val="18"/>
                <w:szCs w:val="18"/>
                <w:color w:val="0000FF"/>
              </w:rPr>
              <w:t>Certification of Principal Executive Officer, as required by Section 906 of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Borders>
              <w:bottom w:val="single" w:sz="8" w:color="0000FF"/>
            </w:tcBorders>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Sarbanes-Oxley Act of 2002</w:t>
            </w:r>
          </w:p>
        </w:tc>
        <w:tc>
          <w:tcPr>
            <w:tcW w:w="3780" w:type="dxa"/>
            <w:vAlign w:val="bottom"/>
            <w:tcBorders>
              <w:top w:val="single" w:sz="8" w:color="0000FF"/>
            </w:tcBorders>
            <w:gridSpan w:val="4"/>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gridSpan w:val="4"/>
            <w:vMerge w:val="restart"/>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20" w:type="dxa"/>
            <w:vAlign w:val="bottom"/>
          </w:tcPr>
          <w:p>
            <w:pPr>
              <w:spacing w:after="0"/>
              <w:rPr>
                <w:sz w:val="17"/>
                <w:szCs w:val="17"/>
                <w:color w:val="auto"/>
              </w:rPr>
            </w:pPr>
          </w:p>
        </w:tc>
        <w:tc>
          <w:tcPr>
            <w:tcW w:w="6300" w:type="dxa"/>
            <w:vAlign w:val="bottom"/>
            <w:gridSpan w:val="7"/>
          </w:tcPr>
          <w:p>
            <w:pPr>
              <w:spacing w:after="0" w:line="203" w:lineRule="exact"/>
              <w:rPr>
                <w:sz w:val="20"/>
                <w:szCs w:val="20"/>
                <w:color w:val="auto"/>
              </w:rPr>
            </w:pPr>
            <w:r>
              <w:rPr>
                <w:rFonts w:ascii="Arial" w:cs="Arial" w:eastAsia="Arial" w:hAnsi="Arial"/>
                <w:sz w:val="18"/>
                <w:szCs w:val="18"/>
                <w:color w:val="0000FF"/>
              </w:rPr>
              <w:t>Certification of Principal Financial Officer, as required by Section 906 of the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Sarbanes-Oxley Act of 2002</w:t>
            </w: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00" w:type="dxa"/>
            <w:vAlign w:val="bottom"/>
            <w:gridSpan w:val="7"/>
          </w:tcPr>
          <w:p>
            <w:pPr>
              <w:spacing w:after="0" w:line="189" w:lineRule="exact"/>
              <w:rPr>
                <w:sz w:val="20"/>
                <w:szCs w:val="20"/>
                <w:color w:val="auto"/>
              </w:rPr>
            </w:pPr>
            <w:r>
              <w:rPr>
                <w:rFonts w:ascii="Arial" w:cs="Arial" w:eastAsia="Arial" w:hAnsi="Arial"/>
                <w:sz w:val="18"/>
                <w:szCs w:val="18"/>
                <w:color w:val="auto"/>
              </w:rPr>
              <w:t>The following financial information from the Company’s Quarterly Report 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83" w:lineRule="exact"/>
              <w:rPr>
                <w:sz w:val="20"/>
                <w:szCs w:val="20"/>
                <w:color w:val="auto"/>
              </w:rPr>
            </w:pPr>
            <w:r>
              <w:rPr>
                <w:rFonts w:ascii="Arial" w:cs="Arial" w:eastAsia="Arial" w:hAnsi="Arial"/>
                <w:sz w:val="18"/>
                <w:szCs w:val="18"/>
                <w:color w:val="auto"/>
              </w:rPr>
              <w:t>Form 10-Q for the quarter ended April 30, 2026, formatted in Inline Extensible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81" w:lineRule="exact"/>
              <w:rPr>
                <w:sz w:val="20"/>
                <w:szCs w:val="20"/>
                <w:color w:val="auto"/>
              </w:rPr>
            </w:pPr>
            <w:r>
              <w:rPr>
                <w:rFonts w:ascii="Arial" w:cs="Arial" w:eastAsia="Arial" w:hAnsi="Arial"/>
                <w:sz w:val="18"/>
                <w:szCs w:val="18"/>
                <w:color w:val="auto"/>
              </w:rPr>
              <w:t>Business Reporting Language (iXBRL) includes (i) the Condensed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76" w:lineRule="exact"/>
              <w:rPr>
                <w:sz w:val="20"/>
                <w:szCs w:val="20"/>
                <w:color w:val="auto"/>
              </w:rPr>
            </w:pPr>
            <w:r>
              <w:rPr>
                <w:rFonts w:ascii="Arial" w:cs="Arial" w:eastAsia="Arial" w:hAnsi="Arial"/>
                <w:sz w:val="18"/>
                <w:szCs w:val="18"/>
                <w:color w:val="auto"/>
              </w:rPr>
              <w:t>Consolidated Balance Sheets, (ii) the Condensed Consolidated Statements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83" w:lineRule="exact"/>
              <w:rPr>
                <w:sz w:val="20"/>
                <w:szCs w:val="20"/>
                <w:color w:val="auto"/>
              </w:rPr>
            </w:pPr>
            <w:r>
              <w:rPr>
                <w:rFonts w:ascii="Arial" w:cs="Arial" w:eastAsia="Arial" w:hAnsi="Arial"/>
                <w:sz w:val="18"/>
                <w:szCs w:val="18"/>
                <w:color w:val="auto"/>
              </w:rPr>
              <w:t>Operations; (iii) the Condensed Consolidated Statements of Comprehensive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81" w:lineRule="exact"/>
              <w:rPr>
                <w:sz w:val="20"/>
                <w:szCs w:val="20"/>
                <w:color w:val="auto"/>
              </w:rPr>
            </w:pPr>
            <w:r>
              <w:rPr>
                <w:rFonts w:ascii="Arial" w:cs="Arial" w:eastAsia="Arial" w:hAnsi="Arial"/>
                <w:sz w:val="18"/>
                <w:szCs w:val="18"/>
                <w:color w:val="auto"/>
                <w:w w:val="99"/>
              </w:rPr>
              <w:t>Loss; (iv) the Condensed Consolidated Statements of Redeemable Convertible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76" w:lineRule="exact"/>
              <w:rPr>
                <w:sz w:val="20"/>
                <w:szCs w:val="20"/>
                <w:color w:val="auto"/>
              </w:rPr>
            </w:pPr>
            <w:r>
              <w:rPr>
                <w:rFonts w:ascii="Arial" w:cs="Arial" w:eastAsia="Arial" w:hAnsi="Arial"/>
                <w:sz w:val="18"/>
                <w:szCs w:val="18"/>
                <w:color w:val="auto"/>
              </w:rPr>
              <w:t>Preferred Stock and Stockholders’ Equity; (v) the Condensed Consolidated</w:t>
            </w:r>
          </w:p>
        </w:tc>
        <w:tc>
          <w:tcPr>
            <w:tcW w:w="0" w:type="dxa"/>
            <w:vAlign w:val="bottom"/>
          </w:tcPr>
          <w:p>
            <w:pPr>
              <w:spacing w:after="0"/>
              <w:rPr>
                <w:sz w:val="1"/>
                <w:szCs w:val="1"/>
                <w:color w:val="auto"/>
              </w:rPr>
            </w:pPr>
          </w:p>
        </w:tc>
      </w:tr>
      <w:tr>
        <w:trPr>
          <w:trHeight w:val="184"/>
        </w:trPr>
        <w:tc>
          <w:tcPr>
            <w:tcW w:w="480" w:type="dxa"/>
            <w:vAlign w:val="bottom"/>
            <w:gridSpan w:val="2"/>
            <w:vMerge w:val="restart"/>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7"/>
          </w:tcPr>
          <w:p>
            <w:pPr>
              <w:spacing w:after="0" w:line="183" w:lineRule="exact"/>
              <w:rPr>
                <w:sz w:val="20"/>
                <w:szCs w:val="20"/>
                <w:color w:val="auto"/>
              </w:rPr>
            </w:pPr>
            <w:r>
              <w:rPr>
                <w:rFonts w:ascii="Arial" w:cs="Arial" w:eastAsia="Arial" w:hAnsi="Arial"/>
                <w:sz w:val="18"/>
                <w:szCs w:val="18"/>
                <w:color w:val="auto"/>
              </w:rPr>
              <w:t>Statements of Cash Flows; and (vi) the Notes to Condensed Consolidated</w:t>
            </w:r>
          </w:p>
        </w:tc>
        <w:tc>
          <w:tcPr>
            <w:tcW w:w="0" w:type="dxa"/>
            <w:vAlign w:val="bottom"/>
          </w:tcPr>
          <w:p>
            <w:pPr>
              <w:spacing w:after="0"/>
              <w:rPr>
                <w:sz w:val="1"/>
                <w:szCs w:val="1"/>
                <w:color w:val="auto"/>
              </w:rPr>
            </w:pPr>
          </w:p>
        </w:tc>
      </w:tr>
      <w:tr>
        <w:trPr>
          <w:trHeight w:val="229"/>
        </w:trPr>
        <w:tc>
          <w:tcPr>
            <w:tcW w:w="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39"/>
        </w:trPr>
        <w:tc>
          <w:tcPr>
            <w:tcW w:w="4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iXBRL document)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Compensatory plan or arrangement.</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1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Borders>
              <w:top w:val="single" w:sz="8" w:color="auto"/>
            </w:tcBorders>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Schedule</w:t>
            </w:r>
          </w:p>
        </w:tc>
        <w:tc>
          <w:tcPr>
            <w:tcW w:w="1020" w:type="dxa"/>
            <w:vAlign w:val="bottom"/>
            <w:tcBorders>
              <w:top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File</w:t>
            </w:r>
          </w:p>
        </w:tc>
        <w:tc>
          <w:tcPr>
            <w:tcW w:w="84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80" w:type="dxa"/>
            <w:vAlign w:val="bottom"/>
            <w:tcBorders>
              <w:top w:val="single" w:sz="8" w:color="auto"/>
            </w:tcBorders>
            <w:vMerge w:val="restart"/>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5322" w:lineRule="exact"/>
        <w:rPr>
          <w:sz w:val="20"/>
          <w:szCs w:val="20"/>
          <w:color w:val="auto"/>
        </w:rPr>
      </w:pPr>
    </w:p>
    <w:p>
      <w:pPr>
        <w:sectPr>
          <w:pgSz w:w="11900" w:h="16838" w:orient="portrait"/>
          <w:cols w:equalWidth="0" w:num="2">
            <w:col w:w="7240" w:space="80"/>
            <w:col w:w="3920"/>
          </w:cols>
          <w:pgMar w:left="320" w:top="229" w:right="339" w:bottom="1440" w:gutter="0" w:footer="0" w:header="0"/>
        </w:sectPr>
      </w:pPr>
    </w:p>
    <w:p>
      <w:pPr>
        <w:spacing w:after="0" w:line="3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5300" w:type="dxa"/>
        <w:tblCellMar>
          <w:top w:w="0" w:type="dxa"/>
          <w:left w:w="0" w:type="dxa"/>
          <w:bottom w:w="0" w:type="dxa"/>
          <w:right w:w="0" w:type="dxa"/>
        </w:tblCellMar>
      </w:tblPr>
      <w:tr>
        <w:trPr>
          <w:trHeight w:val="247"/>
        </w:trPr>
        <w:tc>
          <w:tcPr>
            <w:tcW w:w="1440" w:type="dxa"/>
            <w:vAlign w:val="bottom"/>
          </w:tcPr>
          <w:p>
            <w:pPr>
              <w:spacing w:after="0"/>
              <w:rPr>
                <w:sz w:val="20"/>
                <w:szCs w:val="20"/>
                <w:color w:val="auto"/>
              </w:rPr>
            </w:pPr>
            <w:r>
              <w:rPr>
                <w:rFonts w:ascii="Arial" w:cs="Arial" w:eastAsia="Arial" w:hAnsi="Arial"/>
                <w:sz w:val="18"/>
                <w:szCs w:val="18"/>
                <w:b w:val="1"/>
                <w:bCs w:val="1"/>
                <w:color w:val="auto"/>
              </w:rPr>
              <w:t>Navan, Inc.</w:t>
            </w:r>
          </w:p>
        </w:tc>
        <w:tc>
          <w:tcPr>
            <w:tcW w:w="4500" w:type="dxa"/>
            <w:vAlign w:val="bottom"/>
          </w:tcPr>
          <w:p>
            <w:pPr>
              <w:spacing w:after="0"/>
              <w:rPr>
                <w:sz w:val="21"/>
                <w:szCs w:val="21"/>
                <w:color w:val="auto"/>
              </w:rPr>
            </w:pPr>
          </w:p>
        </w:tc>
      </w:tr>
      <w:tr>
        <w:trPr>
          <w:trHeight w:val="488"/>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Ariel Cohen</w:t>
            </w:r>
          </w:p>
        </w:tc>
      </w:tr>
      <w:tr>
        <w:trPr>
          <w:trHeight w:val="218"/>
        </w:trPr>
        <w:tc>
          <w:tcPr>
            <w:tcW w:w="144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Ariel Cohen</w:t>
            </w:r>
          </w:p>
        </w:tc>
      </w:tr>
      <w:tr>
        <w:trPr>
          <w:trHeight w:val="232"/>
        </w:trPr>
        <w:tc>
          <w:tcPr>
            <w:tcW w:w="14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7"/>
        </w:trPr>
        <w:tc>
          <w:tcPr>
            <w:tcW w:w="14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95"/>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Aurélien Nolf</w:t>
            </w:r>
          </w:p>
        </w:tc>
      </w:tr>
      <w:tr>
        <w:trPr>
          <w:trHeight w:val="218"/>
        </w:trPr>
        <w:tc>
          <w:tcPr>
            <w:tcW w:w="144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Aurélien Nolf</w:t>
            </w:r>
          </w:p>
        </w:tc>
      </w:tr>
      <w:tr>
        <w:trPr>
          <w:trHeight w:val="232"/>
        </w:trPr>
        <w:tc>
          <w:tcPr>
            <w:tcW w:w="14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7"/>
        </w:trPr>
        <w:tc>
          <w:tcPr>
            <w:tcW w:w="14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229" w:right="339" w:bottom="1440" w:gutter="0" w:footer="0" w:header="0"/>
        </w:sectPr>
      </w:pPr>
    </w:p>
    <w:bookmarkStart w:id="110" w:name="page111"/>
    <w:bookmarkEnd w:id="110"/>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2402840</wp:posOffset>
            </wp:positionH>
            <wp:positionV relativeFrom="page">
              <wp:posOffset>88900</wp:posOffset>
            </wp:positionV>
            <wp:extent cx="2751455" cy="625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2751455" cy="6254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3, 2026</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Aurélien Nolf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Aurélien: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pleased to offer you employment on the following terms:</w:t>
      </w:r>
    </w:p>
    <w:p>
      <w:pPr>
        <w:spacing w:after="0" w:line="222" w:lineRule="exact"/>
        <w:rPr>
          <w:sz w:val="20"/>
          <w:szCs w:val="20"/>
          <w:color w:val="auto"/>
        </w:rPr>
      </w:pPr>
    </w:p>
    <w:p>
      <w:pPr>
        <w:jc w:val="both"/>
        <w:ind w:firstLine="656"/>
        <w:spacing w:after="0" w:line="251"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Position. </w:t>
      </w:r>
      <w:r>
        <w:rPr>
          <w:rFonts w:ascii="Times New Roman" w:cs="Times New Roman" w:eastAsia="Times New Roman" w:hAnsi="Times New Roman"/>
          <w:sz w:val="22"/>
          <w:szCs w:val="22"/>
          <w:color w:val="auto"/>
        </w:rPr>
        <w:t>Your initial title will be Chief Financial Officer, and you will report to Ariel Cohen,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This is a full-time position based in our Palo Alto office. While you render services to the Company, you will not engage in any other employment, consulting or other business activity (whether full-time or part-time) that would create a conflict of interest with the Company or that is in any way competitive with the business or proposed business of the Company, nor will you assist any other person or organization in competing with the Company or in preparing to engage in competition with the business or proposed business of the Company. By signing this letter agreement, you confirm to the Company that you have no contractual commitments or other legal obligations that would prohibit you from performing your duties for the Company.</w:t>
      </w:r>
    </w:p>
    <w:p>
      <w:pPr>
        <w:spacing w:after="0" w:line="17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9" w:lineRule="auto"/>
        <w:tabs>
          <w:tab w:leader="none" w:pos="1939"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The Company will pay you a starting salary at the rate of $600,000 per year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Company’s standard payroll schedule. This salary will be subject to adjustment pursuant to the Company’s employee compensation policies in effect from time to time.</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59" w:lineRule="auto"/>
        <w:tabs>
          <w:tab w:leader="none" w:pos="1938"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Sign-on Bonus. </w:t>
      </w:r>
      <w:r>
        <w:rPr>
          <w:rFonts w:ascii="Times New Roman" w:cs="Times New Roman" w:eastAsia="Times New Roman" w:hAnsi="Times New Roman"/>
          <w:sz w:val="22"/>
          <w:szCs w:val="22"/>
          <w:color w:val="auto"/>
        </w:rPr>
        <w:t>In the event you begin your employment with Navan on or before March 2, 2026,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will advance to you payment of a one-time bonus, the eligibility and terms of which are detailed separately in </w:t>
      </w: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41" w:val="left"/>
        </w:tabs>
        <w:numPr>
          <w:ilvl w:val="1"/>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Annual Bonus. </w:t>
      </w:r>
      <w:r>
        <w:rPr>
          <w:rFonts w:ascii="Times New Roman" w:cs="Times New Roman" w:eastAsia="Times New Roman" w:hAnsi="Times New Roman"/>
          <w:sz w:val="21"/>
          <w:szCs w:val="21"/>
          <w:color w:val="auto"/>
        </w:rPr>
        <w:t>You will be eligible for an annual discretionary bonus of up to $300,000, which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after the close of the fiscal year. Any bonus paid to you depends not only upon the Company’s profitability but also upon metrics determined by the CEO and the Company’s Compensation Committee of the Board of Directors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To be bonus eligible, you must be employed for the entire applicable fiscal year and remain employed through the time of bonus announcement and bonus payout (except for fiscal 2027, for which you will be eligible for a prorated bonus based on the amount of the fiscal year you are employed by the Company). All bonuses are paid entirely at the Company’s discretion, and you have no contractual entitlement to the receipt of any bonus at any time. The Company reserves the right to alter, postpone or withhold any bonus that may have been announced to you, but which has not been paid to you. Bonuses paid will not be part of normal or expected salary or compensation for any purpose, including the calculation of severance, if any, upon termination.</w:t>
      </w:r>
    </w:p>
    <w:p>
      <w:pPr>
        <w:spacing w:after="0" w:line="169"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As a regular employee of the Company, you will be eligible to participate in Company-sponsored benefits in accordance with the terms and conditions of</w:t>
      </w:r>
    </w:p>
    <w:p>
      <w:pPr>
        <w:sectPr>
          <w:pgSz w:w="11900" w:h="16838" w:orient="portrait"/>
          <w:cols w:equalWidth="0" w:num="1">
            <w:col w:w="11240"/>
          </w:cols>
          <w:pgMar w:left="320" w:top="144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those arrangements. In addition, you will be entitled to paid vacation in accordance with the Company’s vacation policy, as in effect from time to time.</w:t>
      </w:r>
    </w:p>
    <w:p>
      <w:pPr>
        <w:spacing w:after="0" w:line="154" w:lineRule="exact"/>
        <w:rPr>
          <w:sz w:val="20"/>
          <w:szCs w:val="20"/>
          <w:color w:val="auto"/>
        </w:rPr>
      </w:pPr>
    </w:p>
    <w:p>
      <w:pPr>
        <w:jc w:val="both"/>
        <w:ind w:firstLine="656"/>
        <w:spacing w:after="0" w:line="248"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Units. </w:t>
      </w:r>
      <w:r>
        <w:rPr>
          <w:rFonts w:ascii="Times New Roman" w:cs="Times New Roman" w:eastAsia="Times New Roman" w:hAnsi="Times New Roman"/>
          <w:sz w:val="22"/>
          <w:szCs w:val="22"/>
          <w:color w:val="auto"/>
        </w:rPr>
        <w:t>If you decide to join the Company, it will be recommended to the Committee that you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restricted stock units covering shares of the Company’s Class A common stock with an estimated value of US $8 million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The RSUs will be subject to the terms and conditions applicable to restricted stock units granted under Navan’s 2025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applicable Restricted Stock Unit Award Agreement (the “</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The number of RSUs subject to your award will be determined in accordance with the Company’s equity grant policies in effect from time to time. The U.S. dollar value of the RSUs at the time of grant is not a prediction of the value that you may ultimately realize from the RSUs, which will depend on the development of the Company’s share price and your achievement of the vesting conditions described below. As detailed in the Award Agreement, your RSUs will follow a vesting schedule, which includes a 1-year cliff and quarterly vesting thereafter over the next 3 years, subject to your continued employment with the Company through the applicable vesting dates. Please note that the effective date of your RSU award is separate from your vesting commencement date. You will receive an email notification via E*Trade once your equity grant has been approved.</w:t>
      </w:r>
    </w:p>
    <w:p>
      <w:pPr>
        <w:spacing w:after="0" w:line="197" w:lineRule="exact"/>
        <w:rPr>
          <w:rFonts w:ascii="Times New Roman" w:cs="Times New Roman" w:eastAsia="Times New Roman" w:hAnsi="Times New Roman"/>
          <w:sz w:val="22"/>
          <w:szCs w:val="22"/>
          <w:b w:val="1"/>
          <w:bCs w:val="1"/>
          <w:color w:val="auto"/>
        </w:rPr>
      </w:pPr>
    </w:p>
    <w:p>
      <w:pPr>
        <w:jc w:val="both"/>
        <w:ind w:firstLine="656"/>
        <w:spacing w:after="0" w:line="261" w:lineRule="auto"/>
        <w:tabs>
          <w:tab w:leader="none" w:pos="1296"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It will be further recommended to the Committee that you be granted an option to acquire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estimated US $6 million worth of shares of Class A common stock (“</w:t>
      </w:r>
      <w:r>
        <w:rPr>
          <w:rFonts w:ascii="Times New Roman" w:cs="Times New Roman" w:eastAsia="Times New Roman" w:hAnsi="Times New Roman"/>
          <w:sz w:val="21"/>
          <w:szCs w:val="21"/>
          <w:b w:val="1"/>
          <w:bCs w:val="1"/>
          <w:i w:val="1"/>
          <w:iCs w:val="1"/>
          <w:color w:val="auto"/>
        </w:rPr>
        <w:t>Options</w:t>
      </w:r>
      <w:r>
        <w:rPr>
          <w:rFonts w:ascii="Times New Roman" w:cs="Times New Roman" w:eastAsia="Times New Roman" w:hAnsi="Times New Roman"/>
          <w:sz w:val="21"/>
          <w:szCs w:val="21"/>
          <w:color w:val="auto"/>
        </w:rPr>
        <w:t>”) at an exercise price equal to the per share closing price of the Company’s common stock as quoted on Nasdaq on the grant date. The Option will be subject to the terms and conditions applicable to stock options granted under the Plan and the applicable Stock Option Agreement (the “</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The number of shares subject to the Option will be determined in accordance with the Company’s equity grant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policies in effect from time to time. The U.S. dollar value of the Option at the time of grant is not a prediction of the value that you may ultimately realize from the Option, which will depend on the development of the Company’s share price and your achievement of the vesting conditions described below. As detailed in the Option Agreement, the Option will be scheduled to vest as to 25% of the shares subject to the Options on the first anniversary of the grant date, and 1/48th of the shares subject to the Options shall vest each month thereafter, subject to your continued employment with the Company through each vesting date.</w:t>
      </w:r>
    </w:p>
    <w:p>
      <w:pPr>
        <w:spacing w:after="0" w:line="181" w:lineRule="exact"/>
        <w:rPr>
          <w:rFonts w:ascii="Times New Roman" w:cs="Times New Roman" w:eastAsia="Times New Roman" w:hAnsi="Times New Roman"/>
          <w:sz w:val="21"/>
          <w:szCs w:val="21"/>
          <w:b w:val="1"/>
          <w:bCs w:val="1"/>
          <w:color w:val="auto"/>
        </w:rPr>
      </w:pPr>
    </w:p>
    <w:p>
      <w:pPr>
        <w:jc w:val="both"/>
        <w:ind w:firstLine="656"/>
        <w:spacing w:after="0" w:line="264" w:lineRule="auto"/>
        <w:tabs>
          <w:tab w:leader="none" w:pos="1296"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Confidentiality; Proprietary Information and Inventions Agreement and Dispute Resolutions. </w:t>
      </w:r>
      <w:r>
        <w:rPr>
          <w:rFonts w:ascii="Times New Roman" w:cs="Times New Roman" w:eastAsia="Times New Roman" w:hAnsi="Times New Roman"/>
          <w:sz w:val="21"/>
          <w:szCs w:val="21"/>
          <w:color w:val="auto"/>
        </w:rPr>
        <w:t>Like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 employees, you will be required, as a condition of your employment with the Company, to sign the Company’s standard Proprietary Information and Inventions Agreement, a copy of which is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and the Navan Dispute Resolution Agreement, a copy of which is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We wish to impress upon you that we do not want you to, and we hereby direct you not to, bring with you any confidential or proprietary material of any former employer or to violate any other obligations you may have to any former employer. You will disclose to the Company in writing any other gainful employment, business or activity that you are currently associated with or participate in that competes with the Company.</w:t>
      </w:r>
    </w:p>
    <w:p>
      <w:pPr>
        <w:spacing w:after="0" w:line="165" w:lineRule="exact"/>
        <w:rPr>
          <w:rFonts w:ascii="Times New Roman" w:cs="Times New Roman" w:eastAsia="Times New Roman" w:hAnsi="Times New Roman"/>
          <w:sz w:val="21"/>
          <w:szCs w:val="21"/>
          <w:b w:val="1"/>
          <w:bCs w:val="1"/>
          <w:color w:val="auto"/>
        </w:rPr>
      </w:pPr>
    </w:p>
    <w:p>
      <w:pPr>
        <w:jc w:val="both"/>
        <w:ind w:firstLine="656"/>
        <w:spacing w:after="0" w:line="259"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Relationship. </w:t>
      </w:r>
      <w:r>
        <w:rPr>
          <w:rFonts w:ascii="Times New Roman" w:cs="Times New Roman" w:eastAsia="Times New Roman" w:hAnsi="Times New Roman"/>
          <w:sz w:val="22"/>
          <w:szCs w:val="22"/>
          <w:color w:val="auto"/>
        </w:rPr>
        <w:t>Employment with the Company is for no specific period of time.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will be “at will,” meaning that either you or the Company may terminate your employment at any time and for any reason, with or without</w:t>
      </w:r>
    </w:p>
    <w:p>
      <w:pPr>
        <w:sectPr>
          <w:pgSz w:w="11900" w:h="16838" w:orient="portrait"/>
          <w:cols w:equalWidth="0" w:num="1">
            <w:col w:w="11240"/>
          </w:cols>
          <w:pgMar w:left="320" w:top="12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5" w:lineRule="exact"/>
        <w:rPr>
          <w:sz w:val="20"/>
          <w:szCs w:val="20"/>
          <w:color w:val="auto"/>
        </w:rPr>
      </w:pPr>
    </w:p>
    <w:p>
      <w:pPr>
        <w:jc w:val="both"/>
        <w:ind w:firstLine="656"/>
        <w:spacing w:after="0" w:line="252"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You will be eligible to enter into a Change in Control and Severance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Severance Agreement</w:t>
      </w:r>
      <w:r>
        <w:rPr>
          <w:rFonts w:ascii="Times New Roman" w:cs="Times New Roman" w:eastAsia="Times New Roman" w:hAnsi="Times New Roman"/>
          <w:sz w:val="22"/>
          <w:szCs w:val="22"/>
          <w:color w:val="auto"/>
        </w:rPr>
        <w:t>”), which has been provided to you along with this letter of agreement. The Severance Agreement specifies the severance payments and benefits you would be eligible to receive in connection with certain terminations of your employment with the Company. These protections will supersede all other severance payments and benefits you would otherwise be eligible for, or would become eligible for in the future, under any plan, program or policy that the Company may have in effect from time to time.</w:t>
      </w:r>
    </w:p>
    <w:p>
      <w:pPr>
        <w:spacing w:after="0" w:line="174"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p>
    <w:p>
      <w:pPr>
        <w:spacing w:after="0" w:line="219" w:lineRule="exact"/>
        <w:rPr>
          <w:rFonts w:ascii="Times New Roman" w:cs="Times New Roman" w:eastAsia="Times New Roman" w:hAnsi="Times New Roman"/>
          <w:sz w:val="22"/>
          <w:szCs w:val="22"/>
          <w:b w:val="1"/>
          <w:bCs w:val="1"/>
          <w:color w:val="auto"/>
        </w:rPr>
      </w:pPr>
    </w:p>
    <w:p>
      <w:pPr>
        <w:ind w:firstLine="1304"/>
        <w:spacing w:after="0" w:line="275" w:lineRule="auto"/>
        <w:tabs>
          <w:tab w:leader="none" w:pos="1939"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All forms of compensation referred to in this letter agreement are subject to reduction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reflect applicable withholding and payroll taxes and other deductions required by law.</w:t>
      </w:r>
    </w:p>
    <w:p>
      <w:pPr>
        <w:spacing w:after="0" w:line="162"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38"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Advice. </w:t>
      </w:r>
      <w:r>
        <w:rPr>
          <w:rFonts w:ascii="Times New Roman" w:cs="Times New Roman" w:eastAsia="Times New Roman" w:hAnsi="Times New Roman"/>
          <w:sz w:val="22"/>
          <w:szCs w:val="22"/>
          <w:color w:val="auto"/>
        </w:rPr>
        <w:t>You are encouraged to obtain your own tax advice regarding your compensation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You agree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Authorization to Work. </w:t>
      </w:r>
      <w:r>
        <w:rPr>
          <w:rFonts w:ascii="Times New Roman" w:cs="Times New Roman" w:eastAsia="Times New Roman" w:hAnsi="Times New Roman"/>
          <w:sz w:val="22"/>
          <w:szCs w:val="22"/>
          <w:color w:val="auto"/>
        </w:rPr>
        <w:t>Please note that because of employer regulations adopted in the Immigration Reform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Act of 1986, within three (3) business days of starting your new position you will need to present documentation demonstrating that you have authorization to work in the United States. If you have questions about this requirement, which applies to U.S. citizens and non-U.S. citizens alike, please let us know.</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84"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Interpretation, Amendment and Enforcement. </w:t>
      </w:r>
      <w:r>
        <w:rPr>
          <w:rFonts w:ascii="Times New Roman" w:cs="Times New Roman" w:eastAsia="Times New Roman" w:hAnsi="Times New Roman"/>
          <w:sz w:val="22"/>
          <w:szCs w:val="22"/>
          <w:color w:val="auto"/>
        </w:rPr>
        <w:t>This letter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Exhibits 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supersede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Except as specifically detailed otherwise in the Employee Invention Assignment And Confidentiality Agreement or the Severance Agreement,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Times New Roman" w:cs="Times New Roman" w:eastAsia="Times New Roman" w:hAnsi="Times New Roman"/>
          <w:sz w:val="22"/>
          <w:szCs w:val="22"/>
          <w:b w:val="1"/>
          <w:bCs w:val="1"/>
          <w:i w:val="1"/>
          <w:iCs w:val="1"/>
          <w:color w:val="auto"/>
        </w:rPr>
        <w:t>Disputes</w:t>
      </w:r>
      <w:r>
        <w:rPr>
          <w:rFonts w:ascii="Times New Roman" w:cs="Times New Roman" w:eastAsia="Times New Roman" w:hAnsi="Times New Roman"/>
          <w:sz w:val="22"/>
          <w:szCs w:val="22"/>
          <w:color w:val="auto"/>
        </w:rPr>
        <w:t>”) will be governed by California law, excluding laws relating to conflicts or choice of law. Except as covered by an applicable agreement to arbitrate or otherwise resolve Disputes outside of court, you and the Company submit to the exclusive personal jurisdiction of the federal and state courts located in California in connection with any Dispute or any claim related to any Dispute.</w:t>
      </w:r>
    </w:p>
    <w:p>
      <w:pPr>
        <w:sectPr>
          <w:pgSz w:w="11900" w:h="16838" w:orient="portrait"/>
          <w:cols w:equalWidth="0" w:num="1">
            <w:col w:w="11240"/>
          </w:cols>
          <w:pgMar w:left="320" w:top="12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656"/>
        <w:spacing w:after="0" w:line="258"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Background Check. </w:t>
      </w:r>
      <w:r>
        <w:rPr>
          <w:rFonts w:ascii="Times New Roman" w:cs="Times New Roman" w:eastAsia="Times New Roman" w:hAnsi="Times New Roman"/>
          <w:sz w:val="22"/>
          <w:szCs w:val="22"/>
          <w:color w:val="auto"/>
        </w:rPr>
        <w:t>Employment in this role may be contingent upon successful completion of a background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check (except where prohibited by law). You will be notified if a background check is to be conducted. In certain limited circumstances, you and the Company may agree to begin employment prior to the completion of the background check, but only on the condition that employment will be immediately terminated if the background check is unsuccessful</w:t>
      </w:r>
      <w:r>
        <w:rPr>
          <w:rFonts w:ascii="Times New Roman" w:cs="Times New Roman" w:eastAsia="Times New Roman" w:hAnsi="Times New Roman"/>
          <w:sz w:val="22"/>
          <w:szCs w:val="22"/>
          <w:i w:val="1"/>
          <w:iCs w:val="1"/>
          <w:color w:val="auto"/>
        </w:rPr>
        <w:t>.</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letter agreement reflects the entire agreements between the parties or between you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It supersedes, as from the effective date of the present letter agreement, any prior written or verbal employment agreements made directly or indirectly between them.</w:t>
      </w:r>
    </w:p>
    <w:p>
      <w:pPr>
        <w:spacing w:after="0" w:line="170" w:lineRule="exact"/>
        <w:rPr>
          <w:rFonts w:ascii="Times New Roman" w:cs="Times New Roman" w:eastAsia="Times New Roman" w:hAnsi="Times New Roman"/>
          <w:sz w:val="22"/>
          <w:szCs w:val="22"/>
          <w:b w:val="1"/>
          <w:bCs w:val="1"/>
          <w:color w:val="auto"/>
        </w:rPr>
      </w:pPr>
    </w:p>
    <w:p>
      <w:pPr>
        <w:ind w:left="52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 * * *</w:t>
      </w:r>
    </w:p>
    <w:p>
      <w:pPr>
        <w:sectPr>
          <w:pgSz w:w="11900" w:h="16838" w:orient="portrait"/>
          <w:cols w:equalWidth="0" w:num="1">
            <w:col w:w="11240"/>
          </w:cols>
          <w:pgMar w:left="320" w:top="12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February 12, 2026. Your employment is further subject to satisfactory completion of a background investigation and is contingent upon your starting work with the Company on March 2, 2026 or another date agreed upon by you and the Company and confirmed in writing by the Company.</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you have any questions, please contact Howard Baik.</w:t>
      </w:r>
    </w:p>
    <w:p>
      <w:pPr>
        <w:spacing w:after="0" w:line="3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Navan, Inc.</w:t>
      </w:r>
    </w:p>
    <w:p>
      <w:pPr>
        <w:spacing w:after="0" w:line="200" w:lineRule="exact"/>
        <w:rPr>
          <w:sz w:val="20"/>
          <w:szCs w:val="20"/>
          <w:color w:val="auto"/>
        </w:rPr>
      </w:pP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9753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Ariel Cohen, CEO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Aurélien Nolf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782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Aurélien Nolf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2/3/2026</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Proprietary Information and Inventions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Navan Dispute Resolution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Sign-On Bonus Agreement</w:t>
      </w:r>
    </w:p>
    <w:p>
      <w:pPr>
        <w:sectPr>
          <w:pgSz w:w="11900" w:h="16838" w:orient="portrait"/>
          <w:cols w:equalWidth="0" w:num="1">
            <w:col w:w="11240"/>
          </w:cols>
          <w:pgMar w:left="320" w:top="12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EMPLOYEE INVENTION ASSIGNMENT AND</w:t>
      </w:r>
    </w:p>
    <w:p>
      <w:pPr>
        <w:spacing w:after="0" w:line="2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CONFIDENTIALITY AGREEMENT</w:t>
      </w:r>
    </w:p>
    <w:p>
      <w:pPr>
        <w:sectPr>
          <w:pgSz w:w="11900" w:h="16838" w:orient="portrait"/>
          <w:cols w:equalWidth="0" w:num="1">
            <w:col w:w="10139"/>
          </w:cols>
          <w:pgMar w:left="320" w:top="12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EMPLOYEE INVENTION ASSIGNMENT AND CONFIDENTIALITY AGREEMENT</w:t>
      </w:r>
    </w:p>
    <w:p>
      <w:pPr>
        <w:spacing w:after="0" w:line="224"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21"/>
          <w:szCs w:val="21"/>
          <w:color w:val="auto"/>
        </w:rPr>
        <w:t>In consideration of, and as a condition of my employment with Navan, Inc., a Delaware corporation with its principal offices in the State of California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I, as the “</w:t>
      </w:r>
      <w:r>
        <w:rPr>
          <w:rFonts w:ascii="Times New Roman" w:cs="Times New Roman" w:eastAsia="Times New Roman" w:hAnsi="Times New Roman"/>
          <w:sz w:val="21"/>
          <w:szCs w:val="21"/>
          <w:i w:val="1"/>
          <w:iCs w:val="1"/>
          <w:color w:val="auto"/>
        </w:rPr>
        <w:t>Employee</w:t>
      </w:r>
      <w:r>
        <w:rPr>
          <w:rFonts w:ascii="Times New Roman" w:cs="Times New Roman" w:eastAsia="Times New Roman" w:hAnsi="Times New Roman"/>
          <w:sz w:val="21"/>
          <w:szCs w:val="21"/>
          <w:color w:val="auto"/>
        </w:rPr>
        <w:t>” signing this Employee Invention Assignment and Confidentiality Agreement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hereby represent to the Company, and the Company and I hereby agree as follows:</w:t>
      </w:r>
    </w:p>
    <w:p>
      <w:pPr>
        <w:spacing w:after="0" w:line="147" w:lineRule="exact"/>
        <w:rPr>
          <w:sz w:val="20"/>
          <w:szCs w:val="20"/>
          <w:color w:val="auto"/>
        </w:rPr>
      </w:pPr>
    </w:p>
    <w:p>
      <w:pPr>
        <w:ind w:right="60" w:firstLine="8"/>
        <w:spacing w:after="0" w:line="250" w:lineRule="auto"/>
        <w:tabs>
          <w:tab w:leader="none" w:pos="21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of Agreement. </w:t>
      </w:r>
      <w:r>
        <w:rPr>
          <w:rFonts w:ascii="Times New Roman" w:cs="Times New Roman" w:eastAsia="Times New Roman" w:hAnsi="Times New Roman"/>
          <w:sz w:val="22"/>
          <w:szCs w:val="22"/>
          <w:color w:val="auto"/>
        </w:rPr>
        <w:t>I understand that the Company is engaged in a continuous program of research,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production and/or marketing in connection with its current and projected business and that it is critical for the Company to preserve and protect its proprietary information, its rights in certain inventions and works and in related intellectual property rights. Accordingly, I am entering into this Agreement, whether or not I am expected to create inventions or other works of value for the Company. As used in this Agreement, “</w:t>
      </w:r>
      <w:r>
        <w:rPr>
          <w:rFonts w:ascii="Times New Roman" w:cs="Times New Roman" w:eastAsia="Times New Roman" w:hAnsi="Times New Roman"/>
          <w:sz w:val="22"/>
          <w:szCs w:val="22"/>
          <w:i w:val="1"/>
          <w:iCs w:val="1"/>
          <w:color w:val="auto"/>
        </w:rPr>
        <w:t>Inventions</w:t>
      </w:r>
      <w:r>
        <w:rPr>
          <w:rFonts w:ascii="Times New Roman" w:cs="Times New Roman" w:eastAsia="Times New Roman" w:hAnsi="Times New Roman"/>
          <w:sz w:val="22"/>
          <w:szCs w:val="22"/>
          <w:color w:val="auto"/>
        </w:rPr>
        <w:t>” means inventions, improvements, designs, original works of authorship, formulas, processes, compositions of matter, computer software programs, databases, mask works, confidential information and trade secrets.</w:t>
      </w:r>
    </w:p>
    <w:p>
      <w:pPr>
        <w:spacing w:after="0" w:line="180" w:lineRule="exact"/>
        <w:rPr>
          <w:rFonts w:ascii="Times New Roman" w:cs="Times New Roman" w:eastAsia="Times New Roman" w:hAnsi="Times New Roman"/>
          <w:sz w:val="22"/>
          <w:szCs w:val="22"/>
          <w:b w:val="1"/>
          <w:bCs w:val="1"/>
          <w:color w:val="auto"/>
        </w:rPr>
      </w:pPr>
    </w:p>
    <w:p>
      <w:pPr>
        <w:ind w:right="400" w:firstLine="8"/>
        <w:spacing w:after="0" w:line="258" w:lineRule="auto"/>
        <w:tabs>
          <w:tab w:leader="none" w:pos="21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Disclosure of Inventions. </w:t>
      </w:r>
      <w:r>
        <w:rPr>
          <w:rFonts w:ascii="Times New Roman" w:cs="Times New Roman" w:eastAsia="Times New Roman" w:hAnsi="Times New Roman"/>
          <w:sz w:val="22"/>
          <w:szCs w:val="22"/>
          <w:color w:val="auto"/>
        </w:rPr>
        <w:t>I will promptly disclose in confidence to the Company, or to any person designated by it,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that I make, create, conceive or first reduce to practice, either alone or jointly with others, during the period of my employment, whether or not in the course of my employment, and whether or not patentable, copyrightable or protectable as trade secrets.</w:t>
      </w:r>
    </w:p>
    <w:p>
      <w:pPr>
        <w:spacing w:after="0" w:line="167"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216"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Work for Hire; Assigned Inventions. </w:t>
      </w:r>
      <w:r>
        <w:rPr>
          <w:rFonts w:ascii="Times New Roman" w:cs="Times New Roman" w:eastAsia="Times New Roman" w:hAnsi="Times New Roman"/>
          <w:sz w:val="21"/>
          <w:szCs w:val="21"/>
          <w:color w:val="auto"/>
        </w:rPr>
        <w:t>I acknowledge and agree that any copyrightable works prepared by me within the scope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my employment will be “works made for hire” under the Copyright Act and that the Company will be considered the author and owner of such copyrightable works. I agree that all Inventions that I make, create, conceive or first reduce to practice during the period of my employment, whether or not in the course of my employment, and whether or not patentable, copyrightable or protectable as trade secrets, and that (i) are developed using equipment, supplies, facilities or trade secrets of the Company; (ii) result from work performed by me for the Company; or (iii) relate to the Company’s business or actual or demonstrably anticipated research or development (the “</w:t>
      </w:r>
      <w:r>
        <w:rPr>
          <w:rFonts w:ascii="Times New Roman" w:cs="Times New Roman" w:eastAsia="Times New Roman" w:hAnsi="Times New Roman"/>
          <w:sz w:val="21"/>
          <w:szCs w:val="21"/>
          <w:i w:val="1"/>
          <w:iCs w:val="1"/>
          <w:color w:val="auto"/>
        </w:rPr>
        <w:t>Assigned Inventions</w:t>
      </w:r>
      <w:r>
        <w:rPr>
          <w:rFonts w:ascii="Times New Roman" w:cs="Times New Roman" w:eastAsia="Times New Roman" w:hAnsi="Times New Roman"/>
          <w:sz w:val="21"/>
          <w:szCs w:val="21"/>
          <w:color w:val="auto"/>
        </w:rPr>
        <w:t>”), will be the sole and exclusive property of the Company.</w:t>
      </w:r>
    </w:p>
    <w:p>
      <w:pPr>
        <w:spacing w:after="0" w:line="165" w:lineRule="exact"/>
        <w:rPr>
          <w:rFonts w:ascii="Times New Roman" w:cs="Times New Roman" w:eastAsia="Times New Roman" w:hAnsi="Times New Roman"/>
          <w:sz w:val="21"/>
          <w:szCs w:val="21"/>
          <w:b w:val="1"/>
          <w:bCs w:val="1"/>
          <w:color w:val="auto"/>
        </w:rPr>
      </w:pPr>
    </w:p>
    <w:p>
      <w:pPr>
        <w:ind w:firstLine="8"/>
        <w:spacing w:after="0" w:line="248" w:lineRule="auto"/>
        <w:tabs>
          <w:tab w:leader="none" w:pos="21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Excluded Inventions and Other Inventions</w:t>
      </w:r>
      <w:r>
        <w:rPr>
          <w:rFonts w:ascii="Times New Roman" w:cs="Times New Roman" w:eastAsia="Times New Roman" w:hAnsi="Times New Roman"/>
          <w:sz w:val="22"/>
          <w:szCs w:val="22"/>
          <w:color w:val="auto"/>
        </w:rPr>
        <w:t>. Attached hereto as Exhibit A is a list describing all existing Inventions,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may relate to the Company’s business or actual or demonstrably anticipated research or development and that were made by me or acquired by me prior to the Effective Date (as defined in Section 25, below), and which are not to be assigned to the Company (“</w:t>
      </w:r>
      <w:r>
        <w:rPr>
          <w:rFonts w:ascii="Times New Roman" w:cs="Times New Roman" w:eastAsia="Times New Roman" w:hAnsi="Times New Roman"/>
          <w:sz w:val="22"/>
          <w:szCs w:val="22"/>
          <w:i w:val="1"/>
          <w:iCs w:val="1"/>
          <w:color w:val="auto"/>
        </w:rPr>
        <w:t>Excluded Inventions</w:t>
      </w:r>
      <w:r>
        <w:rPr>
          <w:rFonts w:ascii="Times New Roman" w:cs="Times New Roman" w:eastAsia="Times New Roman" w:hAnsi="Times New Roman"/>
          <w:sz w:val="22"/>
          <w:szCs w:val="22"/>
          <w:color w:val="auto"/>
        </w:rPr>
        <w:t>”). If no such list is attached, I represent and agree that it is because I have no rights in any existing Inventions that may relate to the Company’s business or actual or demonstrably anticipated research or development. For purposes of this Agreement, “</w:t>
      </w:r>
      <w:r>
        <w:rPr>
          <w:rFonts w:ascii="Times New Roman" w:cs="Times New Roman" w:eastAsia="Times New Roman" w:hAnsi="Times New Roman"/>
          <w:sz w:val="22"/>
          <w:szCs w:val="22"/>
          <w:i w:val="1"/>
          <w:iCs w:val="1"/>
          <w:color w:val="auto"/>
        </w:rPr>
        <w:t>Other Inventions</w:t>
      </w:r>
      <w:r>
        <w:rPr>
          <w:rFonts w:ascii="Times New Roman" w:cs="Times New Roman" w:eastAsia="Times New Roman" w:hAnsi="Times New Roman"/>
          <w:sz w:val="22"/>
          <w:szCs w:val="22"/>
          <w:color w:val="auto"/>
        </w:rPr>
        <w:t>” means Inventions in which I have or may have an interest, as of the Effective Date or thereafter, other than Assigned Inventions and Excluded Inventions. I acknowledge and agree that if, in the scope of my employment, I use any Excluded Inventions or any Other Inventions, or if I include any Excluded Inventions or Other Inventions in any product or service of the Company or if my rights in any Excluded Inventions or Other Inventions may block or interfere with, or may otherwise be required for, the exercise by the Company of any rights assigned to the Company under this Agreement, I will immediately so notify the Company in writing. Unless the Company and I agree otherwise in writing as to particular Excluded</w:t>
      </w:r>
    </w:p>
    <w:p>
      <w:pPr>
        <w:sectPr>
          <w:pgSz w:w="11900" w:h="16838" w:orient="portrait"/>
          <w:cols w:equalWidth="0" w:num="1">
            <w:col w:w="11220"/>
          </w:cols>
          <w:pgMar w:left="320" w:top="126"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21"/>
          <w:szCs w:val="21"/>
          <w:color w:val="auto"/>
        </w:rPr>
        <w:t>Inventions or Other Inventions, I hereby grant to the Company, in such circumstances (whether or not I give the Company notice as required above), a perpetual, irrevocable, nonexclusive, transferable, world-wide, royalty-free license to use, disclose, make, sell, offer for sale, import, copy, distribute, modify and create works based on, perform, and display such Excluded Inventions and Other Inventions, and to sublicense third parties in one or more tiers of sublicenses with the same rights.</w:t>
      </w:r>
    </w:p>
    <w:p>
      <w:pPr>
        <w:spacing w:after="0" w:line="157" w:lineRule="exact"/>
        <w:rPr>
          <w:sz w:val="20"/>
          <w:szCs w:val="20"/>
          <w:color w:val="auto"/>
        </w:rPr>
      </w:pPr>
    </w:p>
    <w:p>
      <w:pPr>
        <w:ind w:right="280" w:firstLine="8"/>
        <w:spacing w:after="0" w:line="259" w:lineRule="auto"/>
        <w:tabs>
          <w:tab w:leader="none" w:pos="21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Exception to Assignment. </w:t>
      </w:r>
      <w:r>
        <w:rPr>
          <w:rFonts w:ascii="Times New Roman" w:cs="Times New Roman" w:eastAsia="Times New Roman" w:hAnsi="Times New Roman"/>
          <w:sz w:val="22"/>
          <w:szCs w:val="22"/>
          <w:color w:val="auto"/>
        </w:rPr>
        <w:t>I understand that the Assigned Inventions will not include, and the provisions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requiring assignment of inventions to the Company do not apply to, any invention that qualifies fully for exclusion under the provisions of Section 2870 of the California Labor Code, which are attached hereto as Exhibit B.</w:t>
      </w:r>
    </w:p>
    <w:p>
      <w:pPr>
        <w:spacing w:after="0" w:line="166" w:lineRule="exact"/>
        <w:rPr>
          <w:rFonts w:ascii="Times New Roman" w:cs="Times New Roman" w:eastAsia="Times New Roman" w:hAnsi="Times New Roman"/>
          <w:sz w:val="22"/>
          <w:szCs w:val="22"/>
          <w:b w:val="1"/>
          <w:bCs w:val="1"/>
          <w:color w:val="auto"/>
        </w:rPr>
      </w:pPr>
    </w:p>
    <w:p>
      <w:pPr>
        <w:ind w:firstLine="8"/>
        <w:spacing w:after="0" w:line="249" w:lineRule="auto"/>
        <w:tabs>
          <w:tab w:leader="none" w:pos="21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Assignment of Rights. </w:t>
      </w:r>
      <w:r>
        <w:rPr>
          <w:rFonts w:ascii="Times New Roman" w:cs="Times New Roman" w:eastAsia="Times New Roman" w:hAnsi="Times New Roman"/>
          <w:sz w:val="22"/>
          <w:szCs w:val="22"/>
          <w:color w:val="auto"/>
        </w:rPr>
        <w:t>I agree to assign, and do hereby irrevocably transfer and assign, to the Company: (i) all of my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and interests in and with respect to any Assigned Inventions; (ii) all patents, patent applications, copyrights, mask works, rights in databases, trade secrets, and other intellectual property rights, worldwide, in any Assigned Inventions, along with any registrations of or applications to register such rights; and (iii) to the extent assignable, any and all Moral Rights (as defined below) that I may have in or with respect to any Assigned Inventions. I also hereby forever waive and agree never to assert any Moral Rights I may have in or with respect to any Assigned Inventions and any Excluded Inventions or Other Inventions licensed to the Company under Section 4, even after termination of my employment with the Company. “</w:t>
      </w:r>
      <w:r>
        <w:rPr>
          <w:rFonts w:ascii="Times New Roman" w:cs="Times New Roman" w:eastAsia="Times New Roman" w:hAnsi="Times New Roman"/>
          <w:sz w:val="22"/>
          <w:szCs w:val="22"/>
          <w:i w:val="1"/>
          <w:iCs w:val="1"/>
          <w:color w:val="auto"/>
        </w:rPr>
        <w:t>Moral Rights</w:t>
      </w:r>
      <w:r>
        <w:rPr>
          <w:rFonts w:ascii="Times New Roman" w:cs="Times New Roman" w:eastAsia="Times New Roman" w:hAnsi="Times New Roman"/>
          <w:sz w:val="22"/>
          <w:szCs w:val="22"/>
          <w:color w:val="auto"/>
        </w:rPr>
        <w:t>” means any rights to claim authorship of a work, to object to or prevent the modification or destruction of a work, to withdraw from circulation or control the publication or distribution of a work, and any similar right, regardless of whether or not such right is denominated or generally referred to as a “moral right.”</w:t>
      </w:r>
    </w:p>
    <w:p>
      <w:pPr>
        <w:spacing w:after="0" w:line="183" w:lineRule="exact"/>
        <w:rPr>
          <w:rFonts w:ascii="Times New Roman" w:cs="Times New Roman" w:eastAsia="Times New Roman" w:hAnsi="Times New Roman"/>
          <w:sz w:val="22"/>
          <w:szCs w:val="22"/>
          <w:b w:val="1"/>
          <w:bCs w:val="1"/>
          <w:color w:val="auto"/>
        </w:rPr>
      </w:pPr>
    </w:p>
    <w:p>
      <w:pPr>
        <w:ind w:right="20" w:firstLine="8"/>
        <w:spacing w:after="0" w:line="264" w:lineRule="auto"/>
        <w:tabs>
          <w:tab w:leader="none" w:pos="216"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Assistance. </w:t>
      </w:r>
      <w:r>
        <w:rPr>
          <w:rFonts w:ascii="Times New Roman" w:cs="Times New Roman" w:eastAsia="Times New Roman" w:hAnsi="Times New Roman"/>
          <w:sz w:val="21"/>
          <w:szCs w:val="21"/>
          <w:color w:val="auto"/>
        </w:rPr>
        <w:t>I will assist the Company in every proper way to obtain and enforce for the Company all patents, copyrights, mask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work rights, trade secret rights and other legal protections for the Assigned Inventions, worldwide. I will execute and deliver any documents that the Company may reasonably request from me in connection with providing such assistance. My obligations under this section will continue beyond the termination of my employment with the Company; provided that the Company agrees to compensate me at a reasonable rate after such termination for time and expenses actually spent by me at the Company’s request in providing such assistance. I hereby appoint the Secretary of the Company as my attorney-in-fact to execute documents on my behalf for this purpose. I agree that this appointment is coupled with an interest and will not be revocable.</w:t>
      </w:r>
    </w:p>
    <w:p>
      <w:pPr>
        <w:spacing w:after="0" w:line="179" w:lineRule="exact"/>
        <w:rPr>
          <w:rFonts w:ascii="Times New Roman" w:cs="Times New Roman" w:eastAsia="Times New Roman" w:hAnsi="Times New Roman"/>
          <w:sz w:val="21"/>
          <w:szCs w:val="21"/>
          <w:b w:val="1"/>
          <w:bCs w:val="1"/>
          <w:color w:val="auto"/>
        </w:rPr>
      </w:pPr>
    </w:p>
    <w:p>
      <w:pPr>
        <w:ind w:firstLine="8"/>
        <w:spacing w:after="0" w:line="262" w:lineRule="auto"/>
        <w:tabs>
          <w:tab w:leader="none" w:pos="216"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Proprietary Information. </w:t>
      </w:r>
      <w:r>
        <w:rPr>
          <w:rFonts w:ascii="Times New Roman" w:cs="Times New Roman" w:eastAsia="Times New Roman" w:hAnsi="Times New Roman"/>
          <w:sz w:val="21"/>
          <w:szCs w:val="21"/>
          <w:color w:val="auto"/>
        </w:rPr>
        <w:t>I understand that my employment by the Company creates a relationship of confidence and trust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any information or materials of a confidential or secret nature that may be made, created or discovered by me or that may be disclosed to me by the Company or a third party in relation to the business of the Company or to the business of any parent, subsidiary, affiliate, customer or supplier of the Company, or any other party with whom the Company agrees to hold such information or materials in confidence (the “</w:t>
      </w:r>
      <w:r>
        <w:rPr>
          <w:rFonts w:ascii="Times New Roman" w:cs="Times New Roman" w:eastAsia="Times New Roman" w:hAnsi="Times New Roman"/>
          <w:sz w:val="21"/>
          <w:szCs w:val="21"/>
          <w:i w:val="1"/>
          <w:iCs w:val="1"/>
          <w:color w:val="auto"/>
        </w:rPr>
        <w:t>Proprietary Information</w:t>
      </w:r>
      <w:r>
        <w:rPr>
          <w:rFonts w:ascii="Times New Roman" w:cs="Times New Roman" w:eastAsia="Times New Roman" w:hAnsi="Times New Roman"/>
          <w:sz w:val="21"/>
          <w:szCs w:val="21"/>
          <w:color w:val="auto"/>
        </w:rPr>
        <w:t>”). Without limitation as to the forms that Proprietary Information may take, I acknowledge that Proprietary Information may be contained in tangible material such as writings, drawings, samples, electronic media, or computer programs, or may be in the nature of unwritten knowledge or know-how. Proprietary Information includes, but is not limited to, Assigned Inventions, marketing plans, product plans, designs, data, prototypes, specimens, test protocols, laboratory notebooks, business strategies, financial information, forecasts, personnel</w:t>
      </w:r>
    </w:p>
    <w:p>
      <w:pPr>
        <w:sectPr>
          <w:pgSz w:w="11900" w:h="16838" w:orient="portrait"/>
          <w:cols w:equalWidth="0" w:num="1">
            <w:col w:w="11220"/>
          </w:cols>
          <w:pgMar w:left="320" w:top="126"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information, contract information, customer and supplier lists, and the non-public names and addresses of the Company’s customers and suppliers, their buying and selling habits and special needs.</w:t>
      </w:r>
    </w:p>
    <w:p>
      <w:pPr>
        <w:spacing w:after="0" w:line="154" w:lineRule="exact"/>
        <w:rPr>
          <w:sz w:val="20"/>
          <w:szCs w:val="20"/>
          <w:color w:val="auto"/>
        </w:rPr>
      </w:pPr>
    </w:p>
    <w:p>
      <w:pPr>
        <w:ind w:right="100" w:firstLine="8"/>
        <w:spacing w:after="0" w:line="252" w:lineRule="auto"/>
        <w:tabs>
          <w:tab w:leader="none" w:pos="21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At all times, both during my employment and after its termination, I will keep and hold all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in strict confidence and trust. I will not use or disclose any Proprietary Information without the prior written consent of the Company in each instance,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I will not take with me or retain in any form any documents or materials or copies containing any Proprietary Information.</w:t>
      </w:r>
    </w:p>
    <w:p>
      <w:pPr>
        <w:spacing w:after="0" w:line="188" w:lineRule="exact"/>
        <w:rPr>
          <w:rFonts w:ascii="Times New Roman" w:cs="Times New Roman" w:eastAsia="Times New Roman" w:hAnsi="Times New Roman"/>
          <w:sz w:val="22"/>
          <w:szCs w:val="22"/>
          <w:b w:val="1"/>
          <w:bCs w:val="1"/>
          <w:color w:val="auto"/>
        </w:rPr>
      </w:pPr>
    </w:p>
    <w:p>
      <w:pPr>
        <w:ind w:firstLine="8"/>
        <w:spacing w:after="0" w:line="249" w:lineRule="auto"/>
        <w:tabs>
          <w:tab w:leader="none" w:pos="32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Physical Property. </w:t>
      </w:r>
      <w:r>
        <w:rPr>
          <w:rFonts w:ascii="Times New Roman" w:cs="Times New Roman" w:eastAsia="Times New Roman" w:hAnsi="Times New Roman"/>
          <w:sz w:val="22"/>
          <w:szCs w:val="22"/>
          <w:color w:val="auto"/>
        </w:rPr>
        <w:t>All documents, supplies, equipment and other physical property furnished to me by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produced by me or others in connection with my employment will be and remain the sole property of the Company. I will return to the Company all such items when requested by the Company, excepting only my personal copies of records relating to my employment or compensation and any personal property I bring with me to the Company and designate as such. Even if the Company does not so request, I will upon termination of my employment return to the Company all Company property, and I will not take with me or retain any such items.</w:t>
      </w:r>
    </w:p>
    <w:p>
      <w:pPr>
        <w:spacing w:after="0" w:line="193" w:lineRule="exact"/>
        <w:rPr>
          <w:rFonts w:ascii="Times New Roman" w:cs="Times New Roman" w:eastAsia="Times New Roman" w:hAnsi="Times New Roman"/>
          <w:sz w:val="22"/>
          <w:szCs w:val="22"/>
          <w:b w:val="1"/>
          <w:bCs w:val="1"/>
          <w:color w:val="auto"/>
        </w:rPr>
      </w:pPr>
    </w:p>
    <w:p>
      <w:pPr>
        <w:ind w:firstLine="8"/>
        <w:spacing w:after="0" w:line="251" w:lineRule="auto"/>
        <w:tabs>
          <w:tab w:leader="none" w:pos="312"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Breach of Prior Agreements. </w:t>
      </w:r>
      <w:r>
        <w:rPr>
          <w:rFonts w:ascii="Times New Roman" w:cs="Times New Roman" w:eastAsia="Times New Roman" w:hAnsi="Times New Roman"/>
          <w:sz w:val="22"/>
          <w:szCs w:val="22"/>
          <w:color w:val="auto"/>
        </w:rPr>
        <w:t>I represent that my performance of all the terms of this Agreement and my duties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of the Company will not breach any invention assignment, proprietary information, confidentiality, non-competition, or other agreement with any former employer or other party. I represent that I will not bring with me to the Company or use in the performance of my duties for the Company any documents or materials or intangibles of my own or of a former employer or third party that are not generally available for use by the public or have not been legally transferred to the Company.</w:t>
      </w:r>
    </w:p>
    <w:p>
      <w:pPr>
        <w:spacing w:after="0" w:line="189" w:lineRule="exact"/>
        <w:rPr>
          <w:rFonts w:ascii="Times New Roman" w:cs="Times New Roman" w:eastAsia="Times New Roman" w:hAnsi="Times New Roman"/>
          <w:sz w:val="22"/>
          <w:szCs w:val="22"/>
          <w:b w:val="1"/>
          <w:bCs w:val="1"/>
          <w:color w:val="auto"/>
        </w:rPr>
      </w:pPr>
    </w:p>
    <w:p>
      <w:pPr>
        <w:ind w:right="60" w:firstLine="8"/>
        <w:spacing w:after="0" w:line="252" w:lineRule="auto"/>
        <w:tabs>
          <w:tab w:leader="none" w:pos="32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 Will” Employment. </w:t>
      </w:r>
      <w:r>
        <w:rPr>
          <w:rFonts w:ascii="Times New Roman" w:cs="Times New Roman" w:eastAsia="Times New Roman" w:hAnsi="Times New Roman"/>
          <w:sz w:val="22"/>
          <w:szCs w:val="22"/>
          <w:color w:val="auto"/>
        </w:rPr>
        <w:t>I understand that this Agreement does not constitute a contract of employment or obligate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employ me for any stated period of time. I understand that I am an “at will” employee of the Company and that my employment can be terminated at any time, with or without notice and with or without cause, for any reason or for no reason, by either the Company or by me. I acknowledge that any statements or representations to the contrary are ineffective, unless put into a writing signed by the Company. I further acknowledge that my participation in any equity or benefit program is not to be construed as any assurance of continuing employment for any particular period of time.</w:t>
      </w:r>
    </w:p>
    <w:p>
      <w:pPr>
        <w:spacing w:after="0" w:line="174" w:lineRule="exact"/>
        <w:rPr>
          <w:rFonts w:ascii="Times New Roman" w:cs="Times New Roman" w:eastAsia="Times New Roman" w:hAnsi="Times New Roman"/>
          <w:sz w:val="22"/>
          <w:szCs w:val="22"/>
          <w:b w:val="1"/>
          <w:bCs w:val="1"/>
          <w:color w:val="auto"/>
        </w:rPr>
      </w:pPr>
    </w:p>
    <w:p>
      <w:pPr>
        <w:ind w:right="300" w:firstLine="8"/>
        <w:spacing w:after="0" w:line="275" w:lineRule="auto"/>
        <w:tabs>
          <w:tab w:leader="none" w:pos="32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Opportunities; Duty Not to Compete. </w:t>
      </w:r>
      <w:r>
        <w:rPr>
          <w:rFonts w:ascii="Times New Roman" w:cs="Times New Roman" w:eastAsia="Times New Roman" w:hAnsi="Times New Roman"/>
          <w:sz w:val="22"/>
          <w:szCs w:val="22"/>
          <w:color w:val="auto"/>
        </w:rPr>
        <w:t>During the period of my employment, I will at all times devote my best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to the interests of the Company, and I will</w:t>
      </w:r>
    </w:p>
    <w:p>
      <w:pPr>
        <w:spacing w:after="0" w:line="15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auto"/>
        </w:rPr>
        <w:t>not, without the prior written consent of the Company, engage in, or encourage or assist others to engage in, any other employment or activity that: (i) would divert from the Company any business opportunity in which the Company can reasonably be expected to have an interest; (ii) would directly compete with, or involve preparation to compete with, the current or future business of the Company; or (iii) would otherwise conflict with the Company’s interests or could cause a disruption of its operations or prospects.</w:t>
      </w:r>
    </w:p>
    <w:p>
      <w:pPr>
        <w:sectPr>
          <w:pgSz w:w="11900" w:h="16838" w:orient="portrait"/>
          <w:cols w:equalWidth="0" w:num="1">
            <w:col w:w="11240"/>
          </w:cols>
          <w:pgMar w:left="320" w:top="12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80" w:firstLine="8"/>
        <w:spacing w:after="0" w:line="299" w:lineRule="auto"/>
        <w:tabs>
          <w:tab w:leader="none" w:pos="324"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Restrictive Covenants. </w:t>
      </w:r>
      <w:r>
        <w:rPr>
          <w:rFonts w:ascii="Times New Roman" w:cs="Times New Roman" w:eastAsia="Times New Roman" w:hAnsi="Times New Roman"/>
          <w:sz w:val="21"/>
          <w:szCs w:val="21"/>
          <w:color w:val="auto"/>
        </w:rPr>
        <w:t>During my employment with the Company and for one (1) year after my last day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(regardless of reason for separation) (the “Last Day”), I shall not directly or indirectly (e.g., through others):</w:t>
      </w:r>
    </w:p>
    <w:p>
      <w:pPr>
        <w:spacing w:after="0" w:line="158"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This section intentionally left blank.</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Customers: This section intentionally left blank.</w:t>
      </w:r>
    </w:p>
    <w:p>
      <w:pPr>
        <w:spacing w:after="0" w:line="219" w:lineRule="exact"/>
        <w:rPr>
          <w:rFonts w:ascii="Times New Roman" w:cs="Times New Roman" w:eastAsia="Times New Roman" w:hAnsi="Times New Roman"/>
          <w:sz w:val="22"/>
          <w:szCs w:val="22"/>
          <w:color w:val="auto"/>
        </w:rPr>
      </w:pPr>
    </w:p>
    <w:p>
      <w:pPr>
        <w:ind w:right="40" w:firstLine="8"/>
        <w:spacing w:after="0" w:line="271" w:lineRule="auto"/>
        <w:tabs>
          <w:tab w:leader="none" w:pos="3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and Consultants: solicit or encourage (or attempt to solicit or encourage) any employees with whom I had business contact at the Company in the year prior to the Last Day to leave the Company’s employment.</w:t>
      </w:r>
    </w:p>
    <w:p>
      <w:pPr>
        <w:spacing w:after="0" w:line="15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I understand that the restrictive covenant obligations in this section shall not apply to me if am covered under applicable state statute or local ordinance/rule prohibiting non-competes or non-solicits, including on the basis of my income. The covenants in each section of this Agreement are independent of any other provisions of this Agreement. Each term in this Agreement constitutes a separate covenant between the parties, and each term is fully severable from any other term. I and the Company agree if any particular paragraphs, subparagraphs, phrases, words, or other portions of this Agreement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Agreement, or if they cannot be modified to be made valid or enforceable, then they shall be severed from this Agreement, and all remaining terms and provisions shall remain enforceable.</w:t>
      </w:r>
    </w:p>
    <w:p>
      <w:pPr>
        <w:spacing w:after="0" w:line="179" w:lineRule="exact"/>
        <w:rPr>
          <w:sz w:val="20"/>
          <w:szCs w:val="20"/>
          <w:color w:val="auto"/>
        </w:rPr>
      </w:pPr>
    </w:p>
    <w:p>
      <w:pPr>
        <w:ind w:right="200" w:firstLine="8"/>
        <w:spacing w:after="0" w:line="258" w:lineRule="auto"/>
        <w:tabs>
          <w:tab w:leader="none" w:pos="324"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Use of Name &amp; Likeness. </w:t>
      </w:r>
      <w:r>
        <w:rPr>
          <w:rFonts w:ascii="Times New Roman" w:cs="Times New Roman" w:eastAsia="Times New Roman" w:hAnsi="Times New Roman"/>
          <w:sz w:val="22"/>
          <w:szCs w:val="22"/>
          <w:color w:val="auto"/>
        </w:rPr>
        <w:t>I hereby authorize the Company to use, reuse, and to grant others the right to use and reuse,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 photograph, likeness (including caricature), voice, and biographical information, and any reproduction or simulation thereof, in any form of media or technology now known or hereafter developed, both during and after my employment, for any purposes related to the Company’s business, such as marketing, advertising, credits, and presentations.</w:t>
      </w:r>
    </w:p>
    <w:p>
      <w:pPr>
        <w:spacing w:after="0" w:line="167" w:lineRule="exact"/>
        <w:rPr>
          <w:rFonts w:ascii="Times New Roman" w:cs="Times New Roman" w:eastAsia="Times New Roman" w:hAnsi="Times New Roman"/>
          <w:sz w:val="22"/>
          <w:szCs w:val="22"/>
          <w:b w:val="1"/>
          <w:bCs w:val="1"/>
          <w:color w:val="auto"/>
        </w:rPr>
      </w:pPr>
    </w:p>
    <w:p>
      <w:pPr>
        <w:ind w:right="140" w:firstLine="8"/>
        <w:spacing w:after="0" w:line="259" w:lineRule="auto"/>
        <w:tabs>
          <w:tab w:leader="none" w:pos="324"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Notification. </w:t>
      </w:r>
      <w:r>
        <w:rPr>
          <w:rFonts w:ascii="Times New Roman" w:cs="Times New Roman" w:eastAsia="Times New Roman" w:hAnsi="Times New Roman"/>
          <w:sz w:val="22"/>
          <w:szCs w:val="22"/>
          <w:color w:val="auto"/>
        </w:rPr>
        <w:t>I hereby authorize the Company, during and after the termination of my employment with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notify third parties, including, but not limited to, actual or potential customers or employers, of the terms of this Agreement and my responsibilities hereunder.</w:t>
      </w:r>
    </w:p>
    <w:p>
      <w:pPr>
        <w:spacing w:after="0" w:line="166" w:lineRule="exact"/>
        <w:rPr>
          <w:rFonts w:ascii="Times New Roman" w:cs="Times New Roman" w:eastAsia="Times New Roman" w:hAnsi="Times New Roman"/>
          <w:sz w:val="22"/>
          <w:szCs w:val="22"/>
          <w:b w:val="1"/>
          <w:bCs w:val="1"/>
          <w:color w:val="auto"/>
        </w:rPr>
      </w:pPr>
    </w:p>
    <w:p>
      <w:pPr>
        <w:ind w:firstLine="8"/>
        <w:spacing w:after="0" w:line="287" w:lineRule="auto"/>
        <w:tabs>
          <w:tab w:leader="none" w:pos="324"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Injunctive Relief. </w:t>
      </w:r>
      <w:r>
        <w:rPr>
          <w:rFonts w:ascii="Times New Roman" w:cs="Times New Roman" w:eastAsia="Times New Roman" w:hAnsi="Times New Roman"/>
          <w:sz w:val="22"/>
          <w:szCs w:val="22"/>
          <w:color w:val="auto"/>
        </w:rPr>
        <w:t>I understand that a breach or threatened breach of this Agreement by me may cause the Company to suffer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irreparable harm and that the Company will therefore be entitled to injunctive relief to enforce this Agreement.</w:t>
      </w:r>
    </w:p>
    <w:p>
      <w:pPr>
        <w:spacing w:after="0" w:line="137" w:lineRule="exact"/>
        <w:rPr>
          <w:rFonts w:ascii="Times New Roman" w:cs="Times New Roman" w:eastAsia="Times New Roman" w:hAnsi="Times New Roman"/>
          <w:sz w:val="22"/>
          <w:szCs w:val="22"/>
          <w:b w:val="1"/>
          <w:bCs w:val="1"/>
          <w:color w:val="auto"/>
        </w:rPr>
      </w:pPr>
    </w:p>
    <w:p>
      <w:pPr>
        <w:ind w:right="100" w:firstLine="8"/>
        <w:spacing w:after="0" w:line="252" w:lineRule="auto"/>
        <w:tabs>
          <w:tab w:leader="none" w:pos="324"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Severability. </w:t>
      </w:r>
      <w:r>
        <w:rPr>
          <w:rFonts w:ascii="Times New Roman" w:cs="Times New Roman" w:eastAsia="Times New Roman" w:hAnsi="Times New Roman"/>
          <w:sz w:val="22"/>
          <w:szCs w:val="22"/>
          <w:color w:val="auto"/>
        </w:rPr>
        <w:t>This Agreement is intended to supplement, and not to supersede, any rights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have in law or equity with respect to the duties of its employees and the protection of its trade secrets. This Employee Invention Assignment And Confidentiality Agreement will be governed by and construed in accordance with the laws of the State in which the employee is domiciled at the time of execution, without giving effect to any principles of conflict of laws that would lead to the application of the laws of another jurisdiction. If any provision of this Agreement is invalid, illegal or unenforceable in any respect, such provision will be enforced to the maximum extent possible, given the fundamental</w:t>
      </w:r>
    </w:p>
    <w:p>
      <w:pPr>
        <w:sectPr>
          <w:pgSz w:w="11900" w:h="16838" w:orient="portrait"/>
          <w:cols w:equalWidth="0" w:num="1">
            <w:col w:w="11180"/>
          </w:cols>
          <w:pgMar w:left="320" w:top="126"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intentions of the parties when entering into this Agreement. To the extent such provision cannot be so enforced, it will be stricken from this Agreement and the remainder of this Agreement will be enforced as if such invalid, illegal or unenforceable provision had never been contained in this Agreement.</w:t>
      </w:r>
    </w:p>
    <w:p>
      <w:pPr>
        <w:spacing w:after="0" w:line="182" w:lineRule="exact"/>
        <w:rPr>
          <w:sz w:val="20"/>
          <w:szCs w:val="20"/>
          <w:color w:val="auto"/>
        </w:rPr>
      </w:pPr>
    </w:p>
    <w:p>
      <w:pPr>
        <w:ind w:right="680" w:firstLine="8"/>
        <w:spacing w:after="0" w:line="275"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any number of counterparts, each of which when so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will be deemed an original, and all of which together will constitute one and the same agreement.</w:t>
      </w:r>
    </w:p>
    <w:p>
      <w:pPr>
        <w:spacing w:after="0" w:line="149" w:lineRule="exact"/>
        <w:rPr>
          <w:rFonts w:ascii="Times New Roman" w:cs="Times New Roman" w:eastAsia="Times New Roman" w:hAnsi="Times New Roman"/>
          <w:sz w:val="22"/>
          <w:szCs w:val="22"/>
          <w:b w:val="1"/>
          <w:bCs w:val="1"/>
          <w:color w:val="auto"/>
        </w:rPr>
      </w:pPr>
    </w:p>
    <w:p>
      <w:pPr>
        <w:ind w:right="120" w:firstLine="8"/>
        <w:spacing w:after="0" w:line="259"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Agreement and the documents referred to herein constitute the entire agreement and understanding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with respect to the subject matter of this Agreement, and supersede all prior understandings and agreements, whether oral or written, between the parties hereto with respect to such subject matter.</w:t>
      </w:r>
    </w:p>
    <w:p>
      <w:pPr>
        <w:spacing w:after="0" w:line="179" w:lineRule="exact"/>
        <w:rPr>
          <w:rFonts w:ascii="Times New Roman" w:cs="Times New Roman" w:eastAsia="Times New Roman" w:hAnsi="Times New Roman"/>
          <w:sz w:val="22"/>
          <w:szCs w:val="22"/>
          <w:b w:val="1"/>
          <w:bCs w:val="1"/>
          <w:color w:val="auto"/>
        </w:rPr>
      </w:pPr>
    </w:p>
    <w:p>
      <w:pPr>
        <w:ind w:right="80" w:firstLine="8"/>
        <w:spacing w:after="0" w:line="251"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Waiver. </w:t>
      </w:r>
      <w:r>
        <w:rPr>
          <w:rFonts w:ascii="Times New Roman" w:cs="Times New Roman" w:eastAsia="Times New Roman" w:hAnsi="Times New Roman"/>
          <w:sz w:val="22"/>
          <w:szCs w:val="22"/>
          <w:color w:val="auto"/>
        </w:rPr>
        <w:t>This Agreement may be amended only by a written agreement executed by each of the parties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No amendment or waiver of, or modification of any obligation under, this Agreement will be enforceable unless specifically set forth in a writing signed by the party against which enforcement is sought. A waiver by either party of any of the terms and conditions of this Agreement in any instance will not be deemed or construed to be a waiver of such term or condition with respect to any other instance, whether prior, concurrent or subsequent.</w:t>
      </w:r>
    </w:p>
    <w:p>
      <w:pPr>
        <w:spacing w:after="0" w:line="175" w:lineRule="exact"/>
        <w:rPr>
          <w:rFonts w:ascii="Times New Roman" w:cs="Times New Roman" w:eastAsia="Times New Roman" w:hAnsi="Times New Roman"/>
          <w:sz w:val="22"/>
          <w:szCs w:val="22"/>
          <w:b w:val="1"/>
          <w:bCs w:val="1"/>
          <w:color w:val="auto"/>
        </w:rPr>
      </w:pPr>
    </w:p>
    <w:p>
      <w:pPr>
        <w:ind w:right="180" w:firstLine="8"/>
        <w:spacing w:after="0" w:line="254"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Successors and Assigns; Assignment. </w:t>
      </w:r>
      <w:r>
        <w:rPr>
          <w:rFonts w:ascii="Times New Roman" w:cs="Times New Roman" w:eastAsia="Times New Roman" w:hAnsi="Times New Roman"/>
          <w:sz w:val="22"/>
          <w:szCs w:val="22"/>
          <w:color w:val="auto"/>
        </w:rPr>
        <w:t>Except as otherwise provided in this Agreement, this Agreement, and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the parties hereunder, will bind and benefit the parties and their respective successors, assigns, heirs, executors, administrators, and legal representatives. The Company may assign any of its rights and obligations under this Agreement. I understand that I will not be entitled to assign or delegate this Agreement or any of my rights or obligations hereunder, whether voluntarily or by operation of law, except with the prior written consent of the Company.</w:t>
      </w:r>
    </w:p>
    <w:p>
      <w:pPr>
        <w:spacing w:after="0" w:line="173" w:lineRule="exact"/>
        <w:rPr>
          <w:rFonts w:ascii="Times New Roman" w:cs="Times New Roman" w:eastAsia="Times New Roman" w:hAnsi="Times New Roman"/>
          <w:sz w:val="22"/>
          <w:szCs w:val="22"/>
          <w:b w:val="1"/>
          <w:bCs w:val="1"/>
          <w:color w:val="auto"/>
        </w:rPr>
      </w:pPr>
    </w:p>
    <w:p>
      <w:pPr>
        <w:ind w:right="160" w:firstLine="8"/>
        <w:spacing w:after="0" w:line="258"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Further Assurances. </w:t>
      </w:r>
      <w:r>
        <w:rPr>
          <w:rFonts w:ascii="Times New Roman" w:cs="Times New Roman" w:eastAsia="Times New Roman" w:hAnsi="Times New Roman"/>
          <w:sz w:val="22"/>
          <w:szCs w:val="22"/>
          <w:color w:val="auto"/>
        </w:rPr>
        <w:t>The parties will execute such further documents and instruments and take such further actions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reasonably necessary to carry out the purposes and intent of this Agreement. Upon termination of my employment with the Company, I will execute and deliver a document or documents in a form reasonably requested by the Company confirming my agreement to comply with the post-employment obligations contained in this Agreement.</w:t>
      </w:r>
    </w:p>
    <w:p>
      <w:pPr>
        <w:spacing w:after="0" w:line="167" w:lineRule="exact"/>
        <w:rPr>
          <w:rFonts w:ascii="Times New Roman" w:cs="Times New Roman" w:eastAsia="Times New Roman" w:hAnsi="Times New Roman"/>
          <w:sz w:val="22"/>
          <w:szCs w:val="22"/>
          <w:b w:val="1"/>
          <w:bCs w:val="1"/>
          <w:color w:val="auto"/>
        </w:rPr>
      </w:pPr>
    </w:p>
    <w:p>
      <w:pPr>
        <w:ind w:right="340" w:firstLine="8"/>
        <w:spacing w:after="0" w:line="275"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Acknowledgement. </w:t>
      </w:r>
      <w:r>
        <w:rPr>
          <w:rFonts w:ascii="Times New Roman" w:cs="Times New Roman" w:eastAsia="Times New Roman" w:hAnsi="Times New Roman"/>
          <w:sz w:val="22"/>
          <w:szCs w:val="22"/>
          <w:color w:val="auto"/>
        </w:rPr>
        <w:t>I certify and acknowledge that I have carefully read all of the provisions of this Agreement and that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and will fully and faithfully comply with this Agreement.</w:t>
      </w:r>
    </w:p>
    <w:p>
      <w:pPr>
        <w:spacing w:after="0" w:line="162" w:lineRule="exact"/>
        <w:rPr>
          <w:rFonts w:ascii="Times New Roman" w:cs="Times New Roman" w:eastAsia="Times New Roman" w:hAnsi="Times New Roman"/>
          <w:sz w:val="22"/>
          <w:szCs w:val="22"/>
          <w:b w:val="1"/>
          <w:bCs w:val="1"/>
          <w:color w:val="auto"/>
        </w:rPr>
      </w:pPr>
    </w:p>
    <w:p>
      <w:pPr>
        <w:ind w:right="280" w:firstLine="8"/>
        <w:spacing w:after="0" w:line="275" w:lineRule="auto"/>
        <w:tabs>
          <w:tab w:leader="none" w:pos="324"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 of Agreement</w:t>
      </w:r>
      <w:r>
        <w:rPr>
          <w:rFonts w:ascii="Times New Roman" w:cs="Times New Roman" w:eastAsia="Times New Roman" w:hAnsi="Times New Roman"/>
          <w:sz w:val="22"/>
          <w:szCs w:val="22"/>
          <w:color w:val="auto"/>
        </w:rPr>
        <w:t>. This Agreement is and will be effective on and after the first day of my employment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which is </w:t>
      </w:r>
      <w:r>
        <w:rPr>
          <w:rFonts w:ascii="Times New Roman" w:cs="Times New Roman" w:eastAsia="Times New Roman" w:hAnsi="Times New Roman"/>
          <w:sz w:val="22"/>
          <w:szCs w:val="22"/>
          <w:b w:val="1"/>
          <w:bCs w:val="1"/>
          <w:color w:val="auto"/>
        </w:rPr>
        <w:t>March 2, 2026</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21"/>
          <w:szCs w:val="21"/>
          <w:color w:val="auto"/>
        </w:rPr>
        <w:t>Title: CEO</w:t>
      </w:r>
    </w:p>
    <w:p>
      <w:pPr>
        <w:spacing w:after="0" w:line="200" w:lineRule="exact"/>
        <w:rPr>
          <w:sz w:val="20"/>
          <w:szCs w:val="20"/>
          <w:color w:val="auto"/>
        </w:rPr>
      </w:pPr>
    </w:p>
    <w:p>
      <w:pPr>
        <w:sectPr>
          <w:pgSz w:w="11900" w:h="16838" w:orient="portrait"/>
          <w:cols w:equalWidth="0" w:num="2">
            <w:col w:w="5220" w:space="720"/>
            <w:col w:w="5260"/>
          </w:cols>
          <w:pgMar w:left="320" w:top="126" w:right="3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Ariel Cohen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Aurélien Nolf</w:t>
      </w:r>
    </w:p>
    <w:p>
      <w:pPr>
        <w:spacing w:after="0" w:line="203" w:lineRule="exact"/>
        <w:rPr>
          <w:sz w:val="20"/>
          <w:szCs w:val="20"/>
          <w:color w:val="auto"/>
        </w:rPr>
      </w:pPr>
    </w:p>
    <w:p>
      <w:pPr>
        <w:sectPr>
          <w:pgSz w:w="11900" w:h="16838" w:orient="portrait"/>
          <w:cols w:equalWidth="0" w:num="2">
            <w:col w:w="5220" w:space="720"/>
            <w:col w:w="5260"/>
          </w:cols>
          <w:pgMar w:left="320" w:top="126" w:right="3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Ariel Cohen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/s/ Aurélien Nolf</w:t>
      </w:r>
    </w:p>
    <w:p>
      <w:pPr>
        <w:sectPr>
          <w:pgSz w:w="11900" w:h="16838" w:orient="portrait"/>
          <w:cols w:equalWidth="0" w:num="2">
            <w:col w:w="5220" w:space="720"/>
            <w:col w:w="5260"/>
          </w:cols>
          <w:pgMar w:left="320" w:top="126" w:right="37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Employment Offer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2/3/2026</w:t>
      </w:r>
    </w:p>
    <w:p>
      <w:pPr>
        <w:sectPr>
          <w:pgSz w:w="11900" w:h="16838" w:orient="portrait"/>
          <w:cols w:equalWidth="0" w:num="1">
            <w:col w:w="10139"/>
          </w:cols>
          <w:pgMar w:left="320" w:top="12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LIST OF EXCLUDED INVENTIONS UNDER SECTION 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Title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Identifying Number or Brief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By signing this blank "Exhibit A: LIST OF EXCLUDED INVENTIONS UNDER SECTION 4" document, you confirm that you have no inventions, improvements, or original works of authorship. If you do have any inventions, improvements or works of authorship that you would like to add, please contact your recruiter and they will send you an editable version of this document.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Employee: /s/ Aurélien Nolf</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2/3/2026</w:t>
      </w:r>
    </w:p>
    <w:p>
      <w:pPr>
        <w:sectPr>
          <w:pgSz w:w="11900" w:h="16838" w:orient="portrait"/>
          <w:cols w:equalWidth="0" w:num="1">
            <w:col w:w="11160"/>
          </w:cols>
          <w:pgMar w:left="320" w:top="126" w:right="4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CALIFORNIA LABOR CODE 2870 NOTICE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 Labor Code Section 2870 provides as follows: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 Labor Code Section2870(a), the provision is against the public policy of this state and is unenforceable.</w:t>
      </w:r>
    </w:p>
    <w:p>
      <w:pPr>
        <w:sectPr>
          <w:pgSz w:w="11900" w:h="16838" w:orient="portrait"/>
          <w:cols w:equalWidth="0" w:num="1">
            <w:col w:w="11200"/>
          </w:cols>
          <w:pgMar w:left="320" w:top="126"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22"/>
          <w:szCs w:val="22"/>
          <w:b w:val="1"/>
          <w:bCs w:val="1"/>
          <w:color w:val="auto"/>
        </w:rPr>
        <w:t>NAVAN DISPUTE RESOLUTION AGREEMENT</w:t>
      </w:r>
    </w:p>
    <w:p>
      <w:pPr>
        <w:sectPr>
          <w:pgSz w:w="11900" w:h="16838" w:orient="portrait"/>
          <w:cols w:equalWidth="0" w:num="1">
            <w:col w:w="10139"/>
          </w:cols>
          <w:pgMar w:left="320" w:top="12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Navan Dispute Resolution Agreement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b w:val="1"/>
          <w:bCs w:val="1"/>
          <w:color w:val="auto"/>
        </w:rPr>
        <w:t>What Is This?</w:t>
      </w:r>
    </w:p>
    <w:p>
      <w:pPr>
        <w:spacing w:after="0" w:line="2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There may be times when you and Navan have differences or disputes come up that need to be resolved through a more formal process. We all hope that doesn’t happen. But in case it does, this policy talks about the process for resolving those issues. In a nutshell, through this policy, you and Navan agree to resolve all of our disputes (should they arise) through arbitration. You may be thinking – what is arbitration? Basically, it is a way to resolve disputes outside the courts.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of the specifics of this agreement are below, and it is very important that you read it carefully. Navan is committed to transparency and open communication with employees, so if you have any questions about this policy, please reach out to the Legal Team at legal@navan.com.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b w:val="1"/>
          <w:bCs w:val="1"/>
          <w:color w:val="auto"/>
        </w:rPr>
        <w:t>The Specifics.</w:t>
      </w:r>
    </w:p>
    <w:p>
      <w:pPr>
        <w:spacing w:after="0" w:line="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Both you and Navan, Inc. (the “Company”) agree to resolve any and all claims, disputes or controversies that either you may have against the Company or that the Company have against you arising out of, relating to, or having any connection to your application for employment, your employment with the Company, and/or the cessation of your employment exclusively through binding arbitration; the arbitration will be held before a single arbitrator to be administered by a neutral dispute resolution agency agreed upon by the parties at the time of the dispute. If you and the Company cannot agree, the American Arbitration Association (“AAA”) will administer the arbitration pursuant to the AAA’s Employment Arbitration Rules (“AAA Rules”). Copies of AAA’s Rules are available on AAA’s website (www.adr.org) or upon request to the Legal Team (legal@navan.com). If there is any conflict between the Rules and the terms of this Agreement, the language in this Agreement will control.</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 What Claims Are Covered?</w:t>
      </w:r>
    </w:p>
    <w:p>
      <w:pPr>
        <w:spacing w:after="0" w:line="2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Some, but not all, of the types of claims covered are: unpaid wages, overtime, or other compensation; discrimination or harassment on the basis of race, sex, age, national origin, religion, disability or any other protected category; breach of contract; unlawful retaliation; wrongful discharge; employment-related tort claims such as defamation; and claims arising under any state and federal statutes or regulations applicable to employees or applicable to the employment relationship and the cessation of the employment relationship, such as the Age Discrimination in Employment Act, or the Family and Medical Leave Act.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Claims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covered by this Agreement are:</w:t>
      </w:r>
    </w:p>
    <w:p>
      <w:pPr>
        <w:spacing w:after="0" w:line="32" w:lineRule="exact"/>
        <w:rPr>
          <w:sz w:val="20"/>
          <w:szCs w:val="20"/>
          <w:color w:val="auto"/>
        </w:rPr>
      </w:pPr>
    </w:p>
    <w:p>
      <w:pPr>
        <w:ind w:right="20" w:firstLine="656"/>
        <w:spacing w:after="0" w:line="243" w:lineRule="auto"/>
        <w:tabs>
          <w:tab w:leader="none" w:pos="9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benefits, for unemployment benefits, or for other benefits under a benefit plan or program that provides its own process for dispute resolution;</w:t>
      </w:r>
    </w:p>
    <w:p>
      <w:pPr>
        <w:ind w:firstLine="656"/>
        <w:spacing w:after="0" w:line="243" w:lineRule="auto"/>
        <w:tabs>
          <w:tab w:leader="none" w:pos="96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which this Agreement would be prohibited or invalid as a matter of federal law, or state law to the extent not preempted by federal law;</w:t>
      </w:r>
    </w:p>
    <w:p>
      <w:pPr>
        <w:ind w:left="960" w:hanging="304"/>
        <w:spacing w:after="0"/>
        <w:tabs>
          <w:tab w:leader="none" w:pos="9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actions to enforce this Agreement, compel arbitration, or enforce or vacate an arbitrator's award under this Agreement;</w:t>
      </w:r>
    </w:p>
    <w:p>
      <w:pPr>
        <w:spacing w:after="0" w:line="16" w:lineRule="exact"/>
        <w:rPr>
          <w:rFonts w:ascii="Times New Roman" w:cs="Times New Roman" w:eastAsia="Times New Roman" w:hAnsi="Times New Roman"/>
          <w:sz w:val="21"/>
          <w:szCs w:val="21"/>
          <w:color w:val="auto"/>
        </w:rPr>
      </w:pPr>
    </w:p>
    <w:p>
      <w:pPr>
        <w:ind w:left="960" w:hanging="304"/>
        <w:spacing w:after="0"/>
        <w:tabs>
          <w:tab w:leader="none" w:pos="9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the National Labor Relations Act;</w:t>
      </w:r>
    </w:p>
    <w:p>
      <w:pPr>
        <w:spacing w:after="0" w:line="15" w:lineRule="exact"/>
        <w:rPr>
          <w:rFonts w:ascii="Times New Roman" w:cs="Times New Roman" w:eastAsia="Times New Roman" w:hAnsi="Times New Roman"/>
          <w:sz w:val="22"/>
          <w:szCs w:val="22"/>
          <w:color w:val="auto"/>
        </w:rPr>
      </w:pPr>
    </w:p>
    <w:p>
      <w:pPr>
        <w:ind w:firstLine="656"/>
        <w:spacing w:after="0" w:line="243" w:lineRule="auto"/>
        <w:tabs>
          <w:tab w:leader="none" w:pos="94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by whistleblowers arising pursuant to the Sarbanes-Oxley Act and alleging unlawful retaliation or seeking other relief pursuant to that Act; and</w:t>
      </w:r>
    </w:p>
    <w:p>
      <w:pPr>
        <w:ind w:left="920" w:hanging="264"/>
        <w:spacing w:after="0"/>
        <w:tabs>
          <w:tab w:leader="none" w:pos="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action by either party seeking a provisional remedy in any court of competent jurisdiction.</w:t>
      </w:r>
    </w:p>
    <w:p>
      <w:pPr>
        <w:sectPr>
          <w:pgSz w:w="11900" w:h="16838" w:orient="portrait"/>
          <w:cols w:equalWidth="0" w:num="1">
            <w:col w:w="11240"/>
          </w:cols>
          <w:pgMar w:left="320" w:top="12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Agreement </w:t>
      </w:r>
      <w:r>
        <w:rPr>
          <w:rFonts w:ascii="Times New Roman" w:cs="Times New Roman" w:eastAsia="Times New Roman" w:hAnsi="Times New Roman"/>
          <w:sz w:val="22"/>
          <w:szCs w:val="22"/>
          <w:u w:val="single" w:color="auto"/>
          <w:color w:val="auto"/>
        </w:rPr>
        <w:t>does not</w:t>
      </w:r>
      <w:r>
        <w:rPr>
          <w:rFonts w:ascii="Times New Roman" w:cs="Times New Roman" w:eastAsia="Times New Roman" w:hAnsi="Times New Roman"/>
          <w:sz w:val="22"/>
          <w:szCs w:val="22"/>
          <w:color w:val="auto"/>
        </w:rPr>
        <w:t xml:space="preserve"> affect or limit your right to file or recover through a complaint, charge, or communication with any federal, state or local governmental or law enforcement agency, such as the National Labor Relations Board or the Equal Employment Opportunity Commission.</w:t>
      </w:r>
    </w:p>
    <w:p>
      <w:pPr>
        <w:spacing w:after="0" w:line="213" w:lineRule="exact"/>
        <w:rPr>
          <w:sz w:val="20"/>
          <w:szCs w:val="20"/>
          <w:color w:val="auto"/>
        </w:rPr>
      </w:pPr>
    </w:p>
    <w:p>
      <w:pPr>
        <w:jc w:val="both"/>
        <w:ind w:right="20" w:firstLine="219"/>
        <w:spacing w:after="0" w:line="295" w:lineRule="auto"/>
        <w:rPr>
          <w:sz w:val="20"/>
          <w:szCs w:val="20"/>
          <w:color w:val="auto"/>
        </w:rPr>
      </w:pPr>
      <w:r>
        <w:rPr>
          <w:rFonts w:ascii="Times New Roman" w:cs="Times New Roman" w:eastAsia="Times New Roman" w:hAnsi="Times New Roman"/>
          <w:sz w:val="21"/>
          <w:szCs w:val="21"/>
          <w:color w:val="auto"/>
        </w:rPr>
        <w:t>You and the Company agree that the parties and this Agreement are subject to the Federal Arbitration Act (“FAA”), 9 U.S.C. § 2, and that this Agreement shall be enforceable pursuant to and interpreted in accordance with the provisions of the FAA.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…Tell Me More About the Arbitration.</w:t>
      </w:r>
    </w:p>
    <w:p>
      <w:pPr>
        <w:spacing w:after="0" w:line="25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Arbitrator shall resolve the dispute based solely upon the law that would govern the claims and defenses pleaded if they were adjudicated in a court of competent jurisdiction, and shall have the authority to award the same damages and other relief that would have been available either to you as an individual claimant or to the Company in that court. All claims must be brought in a party’s individual capacity, and not as a plaintiff or class member in any purported class, collective or representative proceeding. The Arbitrator shall not have the authority to consolidate the claims of other employees into a single proceeding, to fashion a proceeding as a class, collective action, or representative action, or to award relief to a class or group of employees.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disputes concerning the existence, scope, formation, enforceability, revocability or validity of this Agreement or any portion of this Agreement, shall be resolved by the Arbitrator.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…Okay – I Read It – Now What?</w:t>
      </w:r>
    </w:p>
    <w:p>
      <w:pPr>
        <w:spacing w:after="0" w:line="25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By acknowledging / signing below, and/or by continuing employment and/or reporting to work, you agree to be bound to this Dispute Resolution Agreement, as does the Company. You agree that you have read and understand this Agreement and have consulted, or have had the opportunity to consult, with an attorney of your choosing regarding its effect to the extent you deem necessary. If you desire a translation of this Agreement in a language other than English, you may request it from the Company. You understand that you must arbitrate any and all disputes or claims against the Company that are covered by this Agreement; the Company must arbitrate any disputes or claims against you that are covered by this Agreement; that both you and the Company are waiving their respective rights to a trial by a jury; and that neither you nor the Company may file a lawsuit in court in regard to any claims or disputes covered by this Agreement. This Agreement does not constitute a guarantee of employment for any fixed period or under any particular terms except those contained herein and does not alter in any way the at-will nature of any employment relationship.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Employee (Printed)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Aurélien Nolf</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Aurélien Nolf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2/3/2026</w:t>
      </w:r>
    </w:p>
    <w:p>
      <w:pPr>
        <w:sectPr>
          <w:pgSz w:w="11900" w:h="16838" w:orient="portrait"/>
          <w:cols w:equalWidth="0" w:num="1">
            <w:col w:w="11240"/>
          </w:cols>
          <w:pgMar w:left="320" w:top="12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47"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2"/>
          <w:szCs w:val="22"/>
          <w:b w:val="1"/>
          <w:bCs w:val="1"/>
          <w:color w:val="auto"/>
        </w:rPr>
        <w:t>SIGN-ON BONUS AGREEMENT</w:t>
      </w:r>
    </w:p>
    <w:p>
      <w:pPr>
        <w:sectPr>
          <w:pgSz w:w="11900" w:h="16838" w:orient="portrait"/>
          <w:cols w:equalWidth="0" w:num="1">
            <w:col w:w="10139"/>
          </w:cols>
          <w:pgMar w:left="320" w:top="12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Employment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NAVAN SIGN-ON BONUS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Sign-On Bonus Agreement outlines the terms of eligibility and payment of the Sign-On Bonus, in compliance with California Business and Professions Code Section 16608.</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 the event you begin your employment with Navan on or before March 2, 2026, remain a full-time employee with the Company until and through the one-year anniversary of your employment start date, the Company will provide to you payment of a one-time sign-on bonus consisting of (i) a cash payment of $1.5 million ($1,500,000.00) (the “</w:t>
      </w:r>
      <w:r>
        <w:rPr>
          <w:rFonts w:ascii="Times New Roman" w:cs="Times New Roman" w:eastAsia="Times New Roman" w:hAnsi="Times New Roman"/>
          <w:sz w:val="21"/>
          <w:szCs w:val="21"/>
          <w:b w:val="1"/>
          <w:bCs w:val="1"/>
          <w:i w:val="1"/>
          <w:iCs w:val="1"/>
          <w:color w:val="auto"/>
        </w:rPr>
        <w:t>Cash Bonus</w:t>
      </w:r>
      <w:r>
        <w:rPr>
          <w:rFonts w:ascii="Times New Roman" w:cs="Times New Roman" w:eastAsia="Times New Roman" w:hAnsi="Times New Roman"/>
          <w:sz w:val="21"/>
          <w:szCs w:val="21"/>
          <w:color w:val="auto"/>
        </w:rPr>
        <w:t>”), to be advanced with the first regular payroll run following thirty (30) days after your employment start date, subject to applicable tax withholding and (ii) the recommendation to the Committee that you be granted an award of Restricted Stock Units covering shares of the Company’s Class A common stock with an estimated value of US $1 million (the “</w:t>
      </w:r>
      <w:r>
        <w:rPr>
          <w:rFonts w:ascii="Times New Roman" w:cs="Times New Roman" w:eastAsia="Times New Roman" w:hAnsi="Times New Roman"/>
          <w:sz w:val="21"/>
          <w:szCs w:val="21"/>
          <w:b w:val="1"/>
          <w:bCs w:val="1"/>
          <w:i w:val="1"/>
          <w:iCs w:val="1"/>
          <w:color w:val="auto"/>
        </w:rPr>
        <w:t>RSU Bonus</w:t>
      </w:r>
      <w:r>
        <w:rPr>
          <w:rFonts w:ascii="Times New Roman" w:cs="Times New Roman" w:eastAsia="Times New Roman" w:hAnsi="Times New Roman"/>
          <w:sz w:val="21"/>
          <w:szCs w:val="21"/>
          <w:color w:val="auto"/>
        </w:rPr>
        <w:t>”). The RSU Bonus will be subject to the terms and conditions applicable to restricted stock units granted under Navan’s 2025 Equity Incentive Plan (as amended from time to time) and the applicable Restricted Stock Unit Award Agreement, and will fully vest in a single vesting event on the first quarterly vesting date (as set forth in the Restricted Stock Unit Award Agreement) following the one-year anniversary of your employment start date with the Company, subject to your continued employment with the Company through that date.</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You will not actually earn the Cash Bonus or the RSU Bonus unless and until you remain a full-time employee with the Company until and through the one-year anniversary of your start date (with respect to the Cash Bonus) and the first quarterly vest date following the one-year anniversary of your employment start date (with respect to the RSU Bonus).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you (i) voluntarily resign from the Company without Good Reason (as defined in the Change in Control and Severance Agreement) or (ii) are terminated for Cause (as defined in the Change in Control and Severance Agreement), you will not receive the RSU Bonus and you agree to repay a portion of the advanced Cash Bonus according to the following schedule: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each completed month of work, your repayment obligation in connection with your voluntary resignation without Good Reason or your termination for Cause will be reduced by 1/12th of the value of the advanced Cash Bonus (for example: if you voluntarily resign without Good Reason after completing 6 months of employment, you will repay one half of the value of the advanced Bonus.)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This Agreement does not constitute a guarantee of employment for any fixed period or under any particular terms except those contained herein and does not alter in any way the at-will nature of any employment relationship. </w:t>
      </w:r>
      <w:r>
        <w:rPr>
          <w:rFonts w:ascii="Times New Roman" w:cs="Times New Roman" w:eastAsia="Times New Roman" w:hAnsi="Times New Roman"/>
          <w:sz w:val="22"/>
          <w:szCs w:val="22"/>
          <w:b w:val="1"/>
          <w:bCs w:val="1"/>
          <w:color w:val="auto"/>
        </w:rPr>
        <w:t>You are here notified that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have the right to consult an attorney regarding this Agreement and are entitled to five business days to obtain advice of counsel prior to executing it. You have been provided the choice to instead receive the Cash Bonus upon your earning it rather than having it advanced to you, thereby eliminating any repayment obligation of the Cash Bonus, but you have affirmatively chosen to have the Cash Bonus advanced to you.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agree to the terms of this Sign-On Bonus Agreement, sign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Employee (Printed)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Aurélien Nolf</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Aurélien Nolf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2/3/2026</w:t>
      </w:r>
    </w:p>
    <w:p>
      <w:pPr>
        <w:sectPr>
          <w:pgSz w:w="11900" w:h="16838" w:orient="portrait"/>
          <w:cols w:equalWidth="0" w:num="1">
            <w:col w:w="11240"/>
          </w:cols>
          <w:pgMar w:left="320" w:top="126" w:right="339" w:bottom="1440" w:gutter="0" w:footer="0" w:header="0"/>
        </w:sectPr>
      </w:pPr>
    </w:p>
    <w:bookmarkStart w:id="129" w:name="page130"/>
    <w:bookmarkEnd w:id="129"/>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Navan,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who is not also serving as an employee of or consultant to the Company or any of its subsidiaries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Non-Employee Director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for their Board service upon and following the effective date of the registration statement in connection with the initial public offering of the Company’s common stock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 Eligible Director may decline all or any portion of their compensation by giving notice to the Company prior to the date cash may be paid or equity awards are to be granted, as the case may be.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Subject to approval by the Company’s stockholders on or prior to the Effective Date, this Policy is effective as of the Effective Date. Unless otherwise required by applicable law, following the approval, this Policy will not be subject to approval by the Company’s stockholders, including, for the avoidance of doubt, as a result of or in connection with an action taken with respect to this Policy as contemplated by the following paragraph.</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Policy may be amended, suspended, or terminated at any time in the sole discretion of the Board or the Compensation Committee of the 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provided, however, that no amendment, suspension, or termination of this Policy will materially impair the rights of an Eligible Director with respect to compensation that already has been paid or awarded, unless otherwise mutually agreed between the Eligible Director and the Company.</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Unless defined in this Policy, each capitalized term will have the meaning given to the term in the Company’s 2025 Equity Incentive Plan, as amended from time to time, or if that plan is no longer in place, the meaning given the term or any similar term in the equity plan then in place (in either case,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or becomes the non-executive chair of the Board, the lead independent Director, or the chair of a committee of the Board at a time other than effective as of the first day of a fiscal quarter, the applicable annual retainer set forth below will be pro-rated based on days served in that capacity in the applicable fiscal quarter, with the pro-rated amount paid on the last day of the first fiscal quarter in which the Eligible Director provides the service and regular full quarterly payments thereafter. For purposes of clarification, an Eligible Director who has served as an Eligible Director, the non-executive chair of the Board, the lead independent Director, or the chair or member of a committee of the Board from the Effective Date through the end of the fiscal quarter containing the Effective Date (the “</w:t>
      </w:r>
      <w:r>
        <w:rPr>
          <w:rFonts w:ascii="Times New Roman" w:cs="Times New Roman" w:eastAsia="Times New Roman" w:hAnsi="Times New Roman"/>
          <w:sz w:val="21"/>
          <w:szCs w:val="21"/>
          <w:b w:val="1"/>
          <w:bCs w:val="1"/>
          <w:i w:val="1"/>
          <w:iCs w:val="1"/>
          <w:color w:val="auto"/>
        </w:rPr>
        <w:t>Initial Period</w:t>
      </w:r>
      <w:r>
        <w:rPr>
          <w:rFonts w:ascii="Times New Roman" w:cs="Times New Roman" w:eastAsia="Times New Roman" w:hAnsi="Times New Roman"/>
          <w:sz w:val="21"/>
          <w:szCs w:val="21"/>
          <w:color w:val="auto"/>
        </w:rPr>
        <w:t>”) will receive a pro-rated payment of the quarterly</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71" w:lineRule="auto"/>
        <w:rPr>
          <w:sz w:val="20"/>
          <w:szCs w:val="20"/>
          <w:color w:val="auto"/>
        </w:rPr>
      </w:pPr>
      <w:r>
        <w:rPr>
          <w:rFonts w:ascii="Times New Roman" w:cs="Times New Roman" w:eastAsia="Times New Roman" w:hAnsi="Times New Roman"/>
          <w:sz w:val="22"/>
          <w:szCs w:val="22"/>
          <w:color w:val="auto"/>
        </w:rPr>
        <w:t>payment of the applicable annual retainer(s), calculated based on the number of days during the Initial Period that the Eligible Director has served in the relevant capacities.</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All cash retainers are vested upon payment. There are no per-meeting attendance fees for attending meetings of the Board or a committee of the Board.</w:t>
      </w:r>
    </w:p>
    <w:p>
      <w:pPr>
        <w:spacing w:after="0" w:line="171"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Board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Eligible Directors: $35,000</w:t>
      </w:r>
    </w:p>
    <w:p>
      <w:pPr>
        <w:spacing w:after="0" w:line="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Non-Executive Chair of the Board Service Retainer (in addition to Eligible Director Service Retainer): $40,000</w:t>
      </w:r>
    </w:p>
    <w:p>
      <w:pPr>
        <w:spacing w:after="0" w:line="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 Independent Director (in addition to Eligible Director Service Retainer): $20,000</w:t>
      </w:r>
    </w:p>
    <w:p>
      <w:pPr>
        <w:spacing w:after="0" w:line="23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Chair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Audit Committee: $25,000</w:t>
      </w:r>
    </w:p>
    <w:p>
      <w:pPr>
        <w:spacing w:after="0" w:line="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Compensation Committee: $20,000</w:t>
      </w:r>
    </w:p>
    <w:p>
      <w:pPr>
        <w:spacing w:after="0" w:line="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Nominating and Corporate Governance Committee: $12,000</w:t>
      </w:r>
    </w:p>
    <w:p>
      <w:pPr>
        <w:spacing w:after="0" w:line="22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Member Service Retainer (not applicable to Committee Chairs)</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$10,000</w:t>
      </w:r>
    </w:p>
    <w:p>
      <w:pPr>
        <w:spacing w:after="0" w:line="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$10,000</w:t>
      </w:r>
    </w:p>
    <w:p>
      <w:pPr>
        <w:spacing w:after="0" w:line="15"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$5,000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Retainer Award Elections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Beginning with the retainers payable with respect to the first quarter of Fiscal Year 2027, each Eligible Director may elect to receive all of the Eligible Director’s retainers for services performed in a future fiscal quarter either in cash or in the form of an award of fully-vested restricted stock units granted under the Plan (a “</w:t>
      </w:r>
      <w:r>
        <w:rPr>
          <w:rFonts w:ascii="Times New Roman" w:cs="Times New Roman" w:eastAsia="Times New Roman" w:hAnsi="Times New Roman"/>
          <w:sz w:val="22"/>
          <w:szCs w:val="22"/>
          <w:b w:val="1"/>
          <w:bCs w:val="1"/>
          <w:i w:val="1"/>
          <w:iCs w:val="1"/>
          <w:color w:val="auto"/>
        </w:rPr>
        <w:t>Retainer Award</w:t>
      </w:r>
      <w:r>
        <w:rPr>
          <w:rFonts w:ascii="Times New Roman" w:cs="Times New Roman" w:eastAsia="Times New Roman" w:hAnsi="Times New Roman"/>
          <w:sz w:val="22"/>
          <w:szCs w:val="22"/>
          <w:color w:val="auto"/>
        </w:rPr>
        <w:t>”) by validly submitting an election to the Company in substantially the form approved by the Board or the Compensation Committee (a “</w:t>
      </w:r>
      <w:r>
        <w:rPr>
          <w:rFonts w:ascii="Times New Roman" w:cs="Times New Roman" w:eastAsia="Times New Roman" w:hAnsi="Times New Roman"/>
          <w:sz w:val="22"/>
          <w:szCs w:val="22"/>
          <w:b w:val="1"/>
          <w:bCs w:val="1"/>
          <w:i w:val="1"/>
          <w:iCs w:val="1"/>
          <w:color w:val="auto"/>
        </w:rPr>
        <w:t>Retainer Award Election</w:t>
      </w:r>
      <w:r>
        <w:rPr>
          <w:rFonts w:ascii="Times New Roman" w:cs="Times New Roman" w:eastAsia="Times New Roman" w:hAnsi="Times New Roman"/>
          <w:sz w:val="22"/>
          <w:szCs w:val="22"/>
          <w:color w:val="auto"/>
        </w:rPr>
        <w:t>”) before the beginning of the fiscal quarter.</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Any Retainer Award Election must be submitted during an open trading window and at a time when the Eligible Director otherwise is not restricted from trading shares of Common Stock. If an Eligible Director is not otherwise permitted to trade shares of Common Stock under the Company’s insider trading policy at the time the Eligible Director submits a Retainer Award Election, then that Retainer Award Election will be invalid. In addition, an Eligible Director may not validly submit more than one new Retainer Award Election for a fiscal quarter; if an Eligible Director submits more than one new Retainer Award Election for a fiscal quarter, then only the first of those Retainer Award Elections that satisfies the conditions above will be valid.</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Any validly submitted Retainer Award Election will become effective and irrevocable as of the date it is submitted to the Company (the “</w:t>
      </w:r>
      <w:r>
        <w:rPr>
          <w:rFonts w:ascii="Times New Roman" w:cs="Times New Roman" w:eastAsia="Times New Roman" w:hAnsi="Times New Roman"/>
          <w:sz w:val="22"/>
          <w:szCs w:val="22"/>
          <w:b w:val="1"/>
          <w:bCs w:val="1"/>
          <w:i w:val="1"/>
          <w:iCs w:val="1"/>
          <w:color w:val="auto"/>
        </w:rPr>
        <w:t>Election Date</w:t>
      </w:r>
      <w:r>
        <w:rPr>
          <w:rFonts w:ascii="Times New Roman" w:cs="Times New Roman" w:eastAsia="Times New Roman" w:hAnsi="Times New Roman"/>
          <w:sz w:val="22"/>
          <w:szCs w:val="22"/>
          <w:color w:val="auto"/>
        </w:rPr>
        <w:t>”) and will apply to all retainers for all fiscal quarters that begin after the Election Date. Once a Retainer Award Election is validly</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71" w:lineRule="auto"/>
        <w:rPr>
          <w:sz w:val="20"/>
          <w:szCs w:val="20"/>
          <w:color w:val="auto"/>
        </w:rPr>
      </w:pPr>
      <w:r>
        <w:rPr>
          <w:rFonts w:ascii="Times New Roman" w:cs="Times New Roman" w:eastAsia="Times New Roman" w:hAnsi="Times New Roman"/>
          <w:sz w:val="22"/>
          <w:szCs w:val="22"/>
          <w:color w:val="auto"/>
        </w:rPr>
        <w:t>submitted, it will remain in effect for all future fiscal quarters until the Eligible Director validly submits a new Retainer Award Election.</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If an Eligible Director has validly elected to receive the retainers for a fiscal quarter in the form of a Retainer Award, the Retainer Award for the fiscal quarter will be granted automatically on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month following the end of the fiscal quarter (the “</w:t>
      </w:r>
      <w:r>
        <w:rPr>
          <w:rFonts w:ascii="Times New Roman" w:cs="Times New Roman" w:eastAsia="Times New Roman" w:hAnsi="Times New Roman"/>
          <w:sz w:val="22"/>
          <w:szCs w:val="22"/>
          <w:b w:val="1"/>
          <w:bCs w:val="1"/>
          <w:i w:val="1"/>
          <w:iCs w:val="1"/>
          <w:color w:val="auto"/>
        </w:rPr>
        <w:t>Retainer Award Grant Date</w:t>
      </w:r>
      <w:r>
        <w:rPr>
          <w:rFonts w:ascii="Times New Roman" w:cs="Times New Roman" w:eastAsia="Times New Roman" w:hAnsi="Times New Roman"/>
          <w:sz w:val="22"/>
          <w:szCs w:val="22"/>
          <w:color w:val="auto"/>
        </w:rPr>
        <w:t>”) as long as the Eligible Director remains in Continuous Service through the Retainer Award Grant Date. The number of shares subject to the Retainer Award will be determined by dividing the amount of the Eligible Director’s retainers for the fiscal quarter by the Fair Market Value of a share of Common Stock on the Retainer Award Grant Date (as determined in accordance with the Plan), with the result rounded to the nearest whole share. However, if the Eligible Director does not remain in Continuous Service through the Retainer Award Grant Date, the Eligible Director will not receive the Retainer Award and instead will receive the retainers for the fiscal quarter in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will reimburse Eligible Directors for ordinary, necessary and reasonable out-of-pocket travel expenses to cover in-person attendance at and participation in Board and committee meetings; provided, that the Eligible Director must timely submit to the Company appropriate documentation substantiating the expenses in accordance with the Company’s travel and expense policy, as in effect from time to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equity compensation set forth below will be granted under the Plan, subject to the approval of the Plan by the Company’s stockholders. All Awards granted under this Policy will be automatic and nondiscretionary, and no person will have any discretion to select which members of the Board will be granted Awards under this Policy or to determine the number of shares of Company common stock to be covered by the Awards.</w:t>
      </w:r>
    </w:p>
    <w:p>
      <w:pPr>
        <w:spacing w:after="0" w:line="203" w:lineRule="exact"/>
        <w:rPr>
          <w:sz w:val="20"/>
          <w:szCs w:val="20"/>
          <w:color w:val="auto"/>
        </w:rPr>
      </w:pPr>
    </w:p>
    <w:p>
      <w:pPr>
        <w:jc w:val="both"/>
        <w:ind w:firstLine="8"/>
        <w:spacing w:after="0" w:line="242" w:lineRule="auto"/>
        <w:tabs>
          <w:tab w:leader="none" w:pos="40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Grants</w:t>
      </w:r>
      <w:r>
        <w:rPr>
          <w:rFonts w:ascii="Times New Roman" w:cs="Times New Roman" w:eastAsia="Times New Roman" w:hAnsi="Times New Roman"/>
          <w:sz w:val="22"/>
          <w:szCs w:val="22"/>
          <w:color w:val="auto"/>
        </w:rPr>
        <w:t>: For each Eligible Director who is first elected or appointed to the Board following the Effective Date, on the date of the Eligible Director’s initial election or appointment to the Board (or, if that date is not a market trading day, the first market trading day thereafter), the Eligible Director will automatically, and without further action by the Board or the Compensation Committee, be granted an RSU Award covering a number of shares that results in the RSU Award having a Value (as defined below) of $450,000, rounded up to the nearest whole share (the “</w:t>
      </w:r>
      <w:r>
        <w:rPr>
          <w:rFonts w:ascii="Times New Roman" w:cs="Times New Roman" w:eastAsia="Times New Roman" w:hAnsi="Times New Roman"/>
          <w:sz w:val="22"/>
          <w:szCs w:val="22"/>
          <w:b w:val="1"/>
          <w:bCs w:val="1"/>
          <w:i w:val="1"/>
          <w:iCs w:val="1"/>
          <w:color w:val="auto"/>
        </w:rPr>
        <w:t>Initial Grant</w:t>
      </w:r>
      <w:r>
        <w:rPr>
          <w:rFonts w:ascii="Times New Roman" w:cs="Times New Roman" w:eastAsia="Times New Roman" w:hAnsi="Times New Roman"/>
          <w:sz w:val="22"/>
          <w:szCs w:val="22"/>
          <w:color w:val="auto"/>
        </w:rPr>
        <w:t>”). If an individual was a member of the Board and also an employee or consultant, becoming an Eligible Director due to termination of employment or service as a consultant will not entitle the Eligible Director to receive an Initial Grant. The RSUs subject to each Initial Grant will vest in three tranches, with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of the RSUs subject to the Initial Grant vesting on the Quarterly Vesting Date immediately following the one-year anniversary of the Eligible Director’s appointment to the Board, and the remaining 2/3rds of the RSUs vesting in two equal annual installments on the anniversary of such Quarterly Vesting Date, such that the Initial Grant is fully vested on the Quarterly Vesting Date immediately following the third</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271" w:lineRule="auto"/>
        <w:rPr>
          <w:sz w:val="20"/>
          <w:szCs w:val="20"/>
          <w:color w:val="auto"/>
        </w:rPr>
      </w:pPr>
      <w:r>
        <w:rPr>
          <w:rFonts w:ascii="Times New Roman" w:cs="Times New Roman" w:eastAsia="Times New Roman" w:hAnsi="Times New Roman"/>
          <w:sz w:val="22"/>
          <w:szCs w:val="22"/>
          <w:color w:val="auto"/>
        </w:rPr>
        <w:t>anniversary of the date of grant, in each case subject to the Eligible Director’s Continuous Service through the vesting date. For these purposes, “</w:t>
      </w:r>
      <w:r>
        <w:rPr>
          <w:rFonts w:ascii="Times New Roman" w:cs="Times New Roman" w:eastAsia="Times New Roman" w:hAnsi="Times New Roman"/>
          <w:sz w:val="22"/>
          <w:szCs w:val="22"/>
          <w:b w:val="1"/>
          <w:bCs w:val="1"/>
          <w:i w:val="1"/>
          <w:iCs w:val="1"/>
          <w:color w:val="auto"/>
        </w:rPr>
        <w:t>Quarterly Vesting Date</w:t>
      </w:r>
      <w:r>
        <w:rPr>
          <w:rFonts w:ascii="Times New Roman" w:cs="Times New Roman" w:eastAsia="Times New Roman" w:hAnsi="Times New Roman"/>
          <w:sz w:val="22"/>
          <w:szCs w:val="22"/>
          <w:color w:val="auto"/>
        </w:rPr>
        <w:t>” means March 20, June 20, September 20 and December 20.</w:t>
      </w:r>
    </w:p>
    <w:p>
      <w:pPr>
        <w:spacing w:after="0" w:line="185" w:lineRule="exact"/>
        <w:rPr>
          <w:sz w:val="20"/>
          <w:szCs w:val="20"/>
          <w:color w:val="auto"/>
        </w:rPr>
      </w:pPr>
    </w:p>
    <w:p>
      <w:pPr>
        <w:jc w:val="both"/>
        <w:ind w:firstLine="8"/>
        <w:spacing w:after="0" w:line="261" w:lineRule="auto"/>
        <w:tabs>
          <w:tab w:leader="none" w:pos="40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Grants</w:t>
      </w:r>
      <w:r>
        <w:rPr>
          <w:rFonts w:ascii="Times New Roman" w:cs="Times New Roman" w:eastAsia="Times New Roman" w:hAnsi="Times New Roman"/>
          <w:sz w:val="21"/>
          <w:szCs w:val="21"/>
          <w:color w:val="auto"/>
        </w:rPr>
        <w:t>: On the date of each annual stockholder meeting of the Company held after the Effective Date, each Eligible Director who continues to serve as a non-employee member of the Board following the stockholder meeting (excluding any Eligible Director who is first appointed or elected by the Board at the meeting) will automatically, and without further action by the Board or the Compensation Committee, be granted an RSU Award covering a number of shares that results in the RSU Award having a Value of $215,000, rounded up to the nearest whole share ( an “</w:t>
      </w:r>
      <w:r>
        <w:rPr>
          <w:rFonts w:ascii="Times New Roman" w:cs="Times New Roman" w:eastAsia="Times New Roman" w:hAnsi="Times New Roman"/>
          <w:sz w:val="21"/>
          <w:szCs w:val="21"/>
          <w:b w:val="1"/>
          <w:bCs w:val="1"/>
          <w:i w:val="1"/>
          <w:iCs w:val="1"/>
          <w:color w:val="auto"/>
        </w:rPr>
        <w:t>Annual Grant</w:t>
      </w:r>
      <w:r>
        <w:rPr>
          <w:rFonts w:ascii="Times New Roman" w:cs="Times New Roman" w:eastAsia="Times New Roman" w:hAnsi="Times New Roman"/>
          <w:sz w:val="21"/>
          <w:szCs w:val="21"/>
          <w:color w:val="auto"/>
        </w:rPr>
        <w:t>”). Each Annual Grant will vest in full on the earlier of (i) the first anniversary of the date of grant or (ii) the date of Company’s next annual stockholder meeting following the date of grant, subject to the Eligible Director’s Continuous Service through the vesting date. With respect to an Eligible Director who, following the Effective Date, was first elected or appointed to the Board on a date other than the date of the Company’s annual stockholder meeting, upon the Company’s first annual stockholder meeting following the Eligible Director’s first joining the Board, the Eligible Director’s first Annual Grant will be pro-rated to reflect the time between the Eligible Director’s election or appointment date and the date of that first annual stockholder meeting.</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b w:val="1"/>
          <w:bCs w:val="1"/>
          <w:i w:val="1"/>
          <w:iCs w:val="1"/>
          <w:color w:val="auto"/>
        </w:rPr>
        <w:t>Value</w:t>
      </w:r>
      <w:r>
        <w:rPr>
          <w:rFonts w:ascii="Times New Roman" w:cs="Times New Roman" w:eastAsia="Times New Roman" w:hAnsi="Times New Roman"/>
          <w:sz w:val="22"/>
          <w:szCs w:val="22"/>
          <w:color w:val="auto"/>
        </w:rPr>
        <w:t>” means the grant date fair value (determined in accordance with U.S. generally accepted accounting principles), or any other methodology the Board may determine prior to the grant of the Initial Grant or Annual Grant becoming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Control</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With respect to Awards granted to an Eligible Director while that individual was an Eligible Director, in the event of a Change in Control, the Eligible Director will fully vest in and have the right to exercise the Eligible Director’s outstanding Awards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authorized by the Board between the Eligible Director and the Company or any of its Affiliates, as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Non-Employee Director Compensation Limit</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aggregate value of all compensation granted or paid, as applicable, to any individual for service as a Non-Employee Director shall in no event exceed the limits set forth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409A</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(i)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month following the end of the Company’s taxable</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42" w:lineRule="auto"/>
        <w:rPr>
          <w:sz w:val="20"/>
          <w:szCs w:val="20"/>
          <w:color w:val="auto"/>
        </w:rPr>
      </w:pPr>
      <w:r>
        <w:rPr>
          <w:rFonts w:ascii="Times New Roman" w:cs="Times New Roman" w:eastAsia="Times New Roman" w:hAnsi="Times New Roman"/>
          <w:sz w:val="22"/>
          <w:szCs w:val="22"/>
          <w:color w:val="auto"/>
        </w:rPr>
        <w:t>year in which the compensation is earned or expenses are incurred, as applicable, or (ii)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It is the intent of this Policy that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Eligible Director (or any other person) for any taxes or costs that may be imposed on or incurred by an Eligible Director (or any other person) as a result of Section 409A.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effective as of October 29, 2025; as amended April 8, 2026.</w:t>
      </w:r>
    </w:p>
    <w:p>
      <w:pPr>
        <w:sectPr>
          <w:pgSz w:w="11900" w:h="16838" w:orient="portrait"/>
          <w:cols w:equalWidth="0" w:num="1">
            <w:col w:w="11240"/>
          </w:cols>
          <w:pgMar w:left="320" w:top="1416" w:right="339" w:bottom="1440" w:gutter="0" w:footer="0" w:header="0"/>
        </w:sectPr>
      </w:pPr>
    </w:p>
    <w:bookmarkStart w:id="134" w:name="page135"/>
    <w:bookmarkEnd w:id="134"/>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Ariel Cohen, certify that:</w:t>
      </w:r>
    </w:p>
    <w:p>
      <w:pPr>
        <w:spacing w:after="0" w:line="225"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Form 10-Q of Navan, Inc.;</w:t>
      </w:r>
    </w:p>
    <w:p>
      <w:pPr>
        <w:spacing w:after="0" w:line="117" w:lineRule="exact"/>
        <w:rPr>
          <w:rFonts w:ascii="Arial" w:cs="Arial" w:eastAsia="Arial" w:hAnsi="Arial"/>
          <w:sz w:val="18"/>
          <w:szCs w:val="18"/>
          <w:color w:val="auto"/>
        </w:rPr>
      </w:pPr>
    </w:p>
    <w:p>
      <w:pPr>
        <w:ind w:left="660" w:hanging="652"/>
        <w:spacing w:after="0" w:line="268" w:lineRule="auto"/>
        <w:tabs>
          <w:tab w:leader="none" w:pos="3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268" w:lineRule="auto"/>
        <w:tabs>
          <w:tab w:leader="none" w:pos="4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hanging="652"/>
        <w:spacing w:after="0" w:line="28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hanging="644"/>
        <w:spacing w:after="0" w:line="268"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080" w:hanging="424"/>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0" w:hanging="644"/>
        <w:spacing w:after="0" w:line="268" w:lineRule="auto"/>
        <w:tabs>
          <w:tab w:leader="none" w:pos="10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268" w:lineRule="auto"/>
        <w:tabs>
          <w:tab w:leader="none" w:pos="4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hanging="644"/>
        <w:spacing w:after="0" w:line="268" w:lineRule="auto"/>
        <w:tabs>
          <w:tab w:leader="none" w:pos="10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sz w:val="20"/>
          <w:szCs w:val="20"/>
          <w:color w:val="auto"/>
        </w:rPr>
      </w:pPr>
    </w:p>
    <w:p>
      <w:pPr>
        <w:ind w:left="1300" w:hanging="619"/>
        <w:spacing w:after="0" w:line="287" w:lineRule="auto"/>
        <w:tabs>
          <w:tab w:leader="none" w:pos="10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2026</w:t>
      </w:r>
    </w:p>
    <w:p>
      <w:pPr>
        <w:spacing w:after="0" w:line="200" w:lineRule="exact"/>
        <w:rPr>
          <w:sz w:val="20"/>
          <w:szCs w:val="20"/>
          <w:color w:val="auto"/>
        </w:rPr>
      </w:pPr>
    </w:p>
    <w:p>
      <w:pPr>
        <w:spacing w:after="0" w:line="26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Ariel Cohen</w:t>
      </w:r>
      <w:r>
        <w:rPr>
          <w:rFonts w:ascii="Arial" w:cs="Arial" w:eastAsia="Arial" w:hAnsi="Arial"/>
          <w:sz w:val="18"/>
          <w:szCs w:val="18"/>
          <w:color w:val="auto"/>
        </w:rPr>
        <w:t>_____________________________</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Ariel Cohen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135" w:name="page136"/>
    <w:bookmarkEnd w:id="135"/>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Aurélien Nolf, certify that:</w:t>
      </w:r>
    </w:p>
    <w:p>
      <w:pPr>
        <w:spacing w:after="0" w:line="22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10-Q of Navan, Inc.;</w:t>
      </w:r>
    </w:p>
    <w:p>
      <w:pPr>
        <w:spacing w:after="0" w:line="117" w:lineRule="exact"/>
        <w:rPr>
          <w:rFonts w:ascii="Arial" w:cs="Arial" w:eastAsia="Arial" w:hAnsi="Arial"/>
          <w:sz w:val="18"/>
          <w:szCs w:val="18"/>
          <w:color w:val="auto"/>
        </w:rPr>
      </w:pPr>
    </w:p>
    <w:p>
      <w:pPr>
        <w:ind w:left="660" w:hanging="652"/>
        <w:spacing w:after="0" w:line="268" w:lineRule="auto"/>
        <w:tabs>
          <w:tab w:leader="none" w:pos="3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268" w:lineRule="auto"/>
        <w:tabs>
          <w:tab w:leader="none" w:pos="4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hanging="652"/>
        <w:spacing w:after="0" w:line="287" w:lineRule="auto"/>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hanging="644"/>
        <w:spacing w:after="0" w:line="268" w:lineRule="auto"/>
        <w:tabs>
          <w:tab w:leader="none" w:pos="11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080" w:hanging="424"/>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0" w:hanging="644"/>
        <w:spacing w:after="0" w:line="268" w:lineRule="auto"/>
        <w:tabs>
          <w:tab w:leader="none" w:pos="10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42"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268" w:lineRule="auto"/>
        <w:tabs>
          <w:tab w:leader="none" w:pos="4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hanging="644"/>
        <w:spacing w:after="0" w:line="268" w:lineRule="auto"/>
        <w:tabs>
          <w:tab w:leader="none" w:pos="1093"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sz w:val="20"/>
          <w:szCs w:val="20"/>
          <w:color w:val="auto"/>
        </w:rPr>
      </w:pPr>
    </w:p>
    <w:p>
      <w:pPr>
        <w:ind w:left="1300" w:hanging="619"/>
        <w:spacing w:after="0" w:line="287" w:lineRule="auto"/>
        <w:tabs>
          <w:tab w:leader="none" w:pos="10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2026</w:t>
      </w:r>
    </w:p>
    <w:p>
      <w:pPr>
        <w:spacing w:after="0" w:line="200" w:lineRule="exact"/>
        <w:rPr>
          <w:sz w:val="20"/>
          <w:szCs w:val="20"/>
          <w:color w:val="auto"/>
        </w:rPr>
      </w:pPr>
    </w:p>
    <w:p>
      <w:pPr>
        <w:spacing w:after="0" w:line="26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Aurélien Nolf</w:t>
      </w:r>
      <w:r>
        <w:rPr>
          <w:rFonts w:ascii="Arial" w:cs="Arial" w:eastAsia="Arial" w:hAnsi="Arial"/>
          <w:sz w:val="18"/>
          <w:szCs w:val="18"/>
          <w:color w:val="auto"/>
        </w:rPr>
        <w:t>___________________________</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Aurélien Nolf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8"/>
          <w:szCs w:val="18"/>
          <w:color w:val="auto"/>
        </w:rPr>
        <w:t>Ariel Cohen, Chief Executive Officer of Navan,</w:t>
      </w:r>
      <w:r>
        <w:rPr>
          <w:rFonts w:ascii="Arial" w:cs="Arial" w:eastAsia="Arial" w:hAnsi="Arial"/>
          <w:sz w:val="18"/>
          <w:szCs w:val="18"/>
          <w:b w:val="1"/>
          <w:bCs w:val="1"/>
          <w:color w:val="auto"/>
        </w:rPr>
        <w:t xml:space="preserve"> </w:t>
      </w:r>
      <w:r>
        <w:rPr>
          <w:rFonts w:ascii="Arial" w:cs="Arial" w:eastAsia="Arial" w:hAnsi="Arial"/>
          <w:sz w:val="18"/>
          <w:szCs w:val="18"/>
          <w:color w:val="auto"/>
        </w:rPr>
        <w:t>Inc. (the “Company”), hereby certifies that, to the best of his knowledge:</w:t>
      </w:r>
    </w:p>
    <w:p>
      <w:pPr>
        <w:spacing w:after="0" w:line="171" w:lineRule="exact"/>
        <w:rPr>
          <w:sz w:val="20"/>
          <w:szCs w:val="20"/>
          <w:color w:val="auto"/>
        </w:rPr>
      </w:pPr>
    </w:p>
    <w:p>
      <w:pPr>
        <w:ind w:left="660" w:hanging="652"/>
        <w:spacing w:after="0" w:line="287" w:lineRule="auto"/>
        <w:tabs>
          <w:tab w:leader="none" w:pos="66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April 30, 2026, to which this Certification is attached as Exhibit 32.1 (the “Periodic Report”), fully complies with the requirements of Section 13(a) or Section 15(d) of the Exchange Act; and</w:t>
      </w:r>
    </w:p>
    <w:p>
      <w:pPr>
        <w:spacing w:after="0" w:line="152" w:lineRule="exact"/>
        <w:rPr>
          <w:rFonts w:ascii="Arial" w:cs="Arial" w:eastAsia="Arial" w:hAnsi="Arial"/>
          <w:sz w:val="18"/>
          <w:szCs w:val="18"/>
          <w:b w:val="1"/>
          <w:bCs w:val="1"/>
          <w:color w:val="auto"/>
        </w:rPr>
      </w:pPr>
    </w:p>
    <w:p>
      <w:pPr>
        <w:ind w:left="660" w:right="20" w:hanging="652"/>
        <w:spacing w:after="0" w:line="287" w:lineRule="auto"/>
        <w:tabs>
          <w:tab w:leader="none" w:pos="66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Ariel Cohen</w:t>
      </w:r>
      <w:r>
        <w:rPr>
          <w:rFonts w:ascii="Arial" w:cs="Arial" w:eastAsia="Arial" w:hAnsi="Arial"/>
          <w:sz w:val="18"/>
          <w:szCs w:val="18"/>
          <w:color w:val="auto"/>
        </w:rPr>
        <w:t>___________________________</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Ariel Cohen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Navan, Inc.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1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8"/>
          <w:szCs w:val="18"/>
          <w:color w:val="auto"/>
        </w:rPr>
        <w:t>Aurélien Nolf, Chief Financial Officer of Navan,</w:t>
      </w:r>
      <w:r>
        <w:rPr>
          <w:rFonts w:ascii="Arial" w:cs="Arial" w:eastAsia="Arial" w:hAnsi="Arial"/>
          <w:sz w:val="18"/>
          <w:szCs w:val="18"/>
          <w:b w:val="1"/>
          <w:bCs w:val="1"/>
          <w:color w:val="auto"/>
        </w:rPr>
        <w:t xml:space="preserve"> </w:t>
      </w:r>
      <w:r>
        <w:rPr>
          <w:rFonts w:ascii="Arial" w:cs="Arial" w:eastAsia="Arial" w:hAnsi="Arial"/>
          <w:sz w:val="18"/>
          <w:szCs w:val="18"/>
          <w:color w:val="auto"/>
        </w:rPr>
        <w:t>Inc. (the “Company”), hereby certifies that, to the best of his knowledge:</w:t>
      </w:r>
    </w:p>
    <w:p>
      <w:pPr>
        <w:spacing w:after="0" w:line="171" w:lineRule="exact"/>
        <w:rPr>
          <w:sz w:val="20"/>
          <w:szCs w:val="20"/>
          <w:color w:val="auto"/>
        </w:rPr>
      </w:pPr>
    </w:p>
    <w:p>
      <w:pPr>
        <w:ind w:left="660" w:hanging="652"/>
        <w:spacing w:after="0" w:line="287" w:lineRule="auto"/>
        <w:tabs>
          <w:tab w:leader="none" w:pos="661"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April 30, 2026, to which this Certification is attached as Exhibit 32.2 (the “Periodic Report”), fully complies with the requirements of Section 13(a) or Section 15(d) of the Exchange Act; and</w:t>
      </w:r>
    </w:p>
    <w:p>
      <w:pPr>
        <w:spacing w:after="0" w:line="152" w:lineRule="exact"/>
        <w:rPr>
          <w:rFonts w:ascii="Arial" w:cs="Arial" w:eastAsia="Arial" w:hAnsi="Arial"/>
          <w:sz w:val="18"/>
          <w:szCs w:val="18"/>
          <w:b w:val="1"/>
          <w:bCs w:val="1"/>
          <w:color w:val="auto"/>
        </w:rPr>
      </w:pPr>
    </w:p>
    <w:p>
      <w:pPr>
        <w:ind w:left="660" w:right="20" w:hanging="652"/>
        <w:spacing w:after="0" w:line="287" w:lineRule="auto"/>
        <w:tabs>
          <w:tab w:leader="none" w:pos="661"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Aurélien Nolf</w:t>
      </w:r>
      <w:r>
        <w:rPr>
          <w:rFonts w:ascii="Arial" w:cs="Arial" w:eastAsia="Arial" w:hAnsi="Arial"/>
          <w:sz w:val="18"/>
          <w:szCs w:val="18"/>
          <w:color w:val="auto"/>
        </w:rPr>
        <w:t>___________________________</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Aurélien Nolf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Navan, Inc.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lvl w:ilvl="1">
      <w:lvlJc w:val="left"/>
      <w:lvlText w:val="(%2)"/>
      <w:numFmt w:val="lowerLetter"/>
      <w:start w:val="1"/>
    </w:lvl>
  </w:abstractNum>
  <w:abstractNum w:abstractNumId="30">
    <w:nsid w:val="580BD78F"/>
    <w:multiLevelType w:val="hybridMultilevel"/>
    <w:lvl w:ilvl="0">
      <w:lvlJc w:val="left"/>
      <w:lvlText w:val="%1."/>
      <w:numFmt w:val="decimal"/>
      <w:start w:val="4"/>
    </w:lvl>
  </w:abstractNum>
  <w:abstractNum w:abstractNumId="31">
    <w:nsid w:val="153EA438"/>
    <w:multiLevelType w:val="hybridMultilevel"/>
    <w:lvl w:ilvl="0">
      <w:lvlJc w:val="left"/>
      <w:lvlText w:val="%1."/>
      <w:numFmt w:val="decimal"/>
      <w:start w:val="8"/>
    </w:lvl>
    <w:lvl w:ilvl="1">
      <w:lvlJc w:val="left"/>
      <w:lvlText w:val="(%2)"/>
      <w:numFmt w:val="lowerLetter"/>
      <w:start w:val="1"/>
    </w:lvl>
  </w:abstractNum>
  <w:abstractNum w:abstractNumId="32">
    <w:nsid w:val="3855585C"/>
    <w:multiLevelType w:val="hybridMultilevel"/>
    <w:lvl w:ilvl="0">
      <w:lvlJc w:val="left"/>
      <w:lvlText w:val="%1."/>
      <w:numFmt w:val="decimal"/>
      <w:start w:val="12"/>
    </w:lvl>
    <w:lvl w:ilvl="1">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5"/>
    </w:lvl>
  </w:abstractNum>
  <w:abstractNum w:abstractNumId="35">
    <w:nsid w:val="2A487CB0"/>
    <w:multiLevelType w:val="hybridMultilevel"/>
    <w:lvl w:ilvl="0">
      <w:lvlJc w:val="left"/>
      <w:lvlText w:val="%1."/>
      <w:numFmt w:val="decimal"/>
      <w:start w:val="9"/>
    </w:lvl>
  </w:abstractNum>
  <w:abstractNum w:abstractNumId="36">
    <w:nsid w:val="1D4ED43B"/>
    <w:multiLevelType w:val="hybridMultilevel"/>
    <w:lvl w:ilvl="0">
      <w:lvlJc w:val="left"/>
      <w:lvlText w:val="%1."/>
      <w:numFmt w:val="decimal"/>
      <w:start w:val="14"/>
    </w:lvl>
  </w:abstractNum>
  <w:abstractNum w:abstractNumId="37">
    <w:nsid w:val="725A06FB"/>
    <w:multiLevelType w:val="hybridMultilevel"/>
    <w:lvl w:ilvl="0">
      <w:lvlJc w:val="left"/>
      <w:lvlText w:val="(%1)"/>
      <w:numFmt w:val="upperLetter"/>
      <w:start w:val="1"/>
    </w:lvl>
  </w:abstractNum>
  <w:abstractNum w:abstractNumId="38">
    <w:nsid w:val="2CD89A32"/>
    <w:multiLevelType w:val="hybridMultilevel"/>
    <w:lvl w:ilvl="0">
      <w:lvlJc w:val="left"/>
      <w:lvlText w:val="%1."/>
      <w:numFmt w:val="decimal"/>
      <w:start w:val="15"/>
    </w:lvl>
  </w:abstractNum>
  <w:abstractNum w:abstractNumId="39">
    <w:nsid w:val="57E4CCAF"/>
    <w:multiLevelType w:val="hybridMultilevel"/>
    <w:lvl w:ilvl="0">
      <w:lvlJc w:val="left"/>
      <w:lvlText w:val="%1."/>
      <w:numFmt w:val="decimal"/>
      <w:start w:val="19"/>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2"/>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2026-06-11T15:54:32Z</dcterms:created>
  <dcterms:modified xsi:type="dcterms:W3CDTF">2026-06-11T15:54:32Z</dcterms:modified>
</cp:coreProperties>
</file>