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312026_080847.xml.htm"/>
      <w:bookmarkStart w:id="1" w:name="ksform408312026_0808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Ariel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CALIFORNIA AVENUE, FLOOR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Navan, Inc.</w:t>
              </w:r>
            </w:hyperlink>
            <w:r>
              <w:rPr/>
              <w:t xml:space="preserve"> [ </w:t>
            </w:r>
            <w:r>
              <w:rPr>
                <w:rFonts w:ascii="Times;serif" w:hAnsi="Times;serif"/>
                <w:color w:val="0000FF"/>
                <w:sz w:val="24"/>
                <w:shd w:fill="FFFFFF" w:val="clear"/>
              </w:rPr>
              <w:t>NAVN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Chairperson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1000"/>
        <w:gridCol w:w="420"/>
        <w:gridCol w:w="984"/>
        <w:gridCol w:w="1290"/>
        <w:gridCol w:w="960"/>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168,378</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30.1441</w:t>
            </w:r>
            <w:r>
              <w:rPr>
                <w:rFonts w:ascii="Times;serif" w:hAnsi="Times;serif"/>
                <w:color w:val="008000"/>
                <w:position w:val="7"/>
                <w:sz w:val="16"/>
                <w:sz w:val="20"/>
                <w:shd w:fill="FFFFFF" w:val="clear"/>
              </w:rPr>
              <w:t>(2)</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1,086,242</w:t>
            </w:r>
            <w:r>
              <w:rPr>
                <w:rFonts w:ascii="Times;serif" w:hAnsi="Times;serif"/>
                <w:color w:val="008000"/>
                <w:position w:val="7"/>
                <w:sz w:val="16"/>
                <w:sz w:val="20"/>
                <w:shd w:fill="FFFFFF" w:val="clear"/>
              </w:rPr>
              <w:t>(3)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Lihi Cohen GST Trust</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30.1441</w:t>
            </w:r>
            <w:r>
              <w:rPr>
                <w:rFonts w:ascii="Times;serif" w:hAnsi="Times;serif"/>
                <w:color w:val="008000"/>
                <w:position w:val="7"/>
                <w:sz w:val="16"/>
                <w:sz w:val="20"/>
                <w:shd w:fill="FFFFFF" w:val="clear"/>
              </w:rPr>
              <w:t>(2)</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Lihi Cohen GST Trust</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Shai Cohen GST Trust</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30.1441</w:t>
            </w:r>
            <w:r>
              <w:rPr>
                <w:rFonts w:ascii="Times;serif" w:hAnsi="Times;serif"/>
                <w:color w:val="008000"/>
                <w:position w:val="7"/>
                <w:sz w:val="16"/>
                <w:sz w:val="20"/>
                <w:shd w:fill="FFFFFF" w:val="clear"/>
              </w:rPr>
              <w:t>(2)</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Shai Cohen GST Trust</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Sivan Cohen GST Trust</w:t>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30.1441</w:t>
            </w:r>
            <w:r>
              <w:rPr>
                <w:rFonts w:ascii="Times;serif" w:hAnsi="Times;serif"/>
                <w:color w:val="008000"/>
                <w:position w:val="7"/>
                <w:sz w:val="16"/>
                <w:sz w:val="20"/>
                <w:shd w:fill="FFFFFF" w:val="clear"/>
              </w:rPr>
              <w:t>(2)</w:t>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Sivan Cohen GST Trust</w:t>
            </w:r>
          </w:p>
        </w:tc>
      </w:tr>
    </w:tbl>
    <w:tbl>
      <w:tblPr>
        <w:tblW w:w="1279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1101"/>
        <w:gridCol w:w="801"/>
        <w:gridCol w:w="966"/>
        <w:gridCol w:w="831"/>
        <w:gridCol w:w="1191"/>
      </w:tblGrid>
      <w:tr>
        <w:trPr>
          <w:tblHeader w:val="true"/>
        </w:trPr>
        <w:tc>
          <w:tcPr>
            <w:tcW w:w="127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688,653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Lihi Cohen GST Trust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688,653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Shai Cohen GST Trust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688,653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Sivan Cohen GST Trust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3,165,987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3,165,987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Ariel Mordechai Cohen Living Trust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Lihi Cohen Non-Exempt Trust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Shai Cohen Non-Exempt Trust</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Sivan Cohen Non-Exempt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January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$30.00 to $30.66, inclusive. The Reporting Person undertakes to provide the Issuer, any security holder of the Issuer, or the Staff of the Securities and Exchange Commission, upon request, full information regarding the number of shares sold at each separate price within the range set forth in these footnotes.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1,086,122 RSUs, each of which represents a contingent right to receive one share of Issuer's Class A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share of Class B Common Stock held by the Reporting Person will automatically convert into one share of Class A Common Stock upon the sale or transfer of such share of Class B Common Stock, subject to certain exceptions, and in certain other circumstances described in the Issuer's amended and restated certificate of incorporation. Each share of Class B Common Stock is convertible at any time at the option of the Reporting Person into one share of Class A Common Stock. The Class B Common Stock has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Howard Baik,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3730" TargetMode="External"/><Relationship Id="rId5" Type="http://schemas.openxmlformats.org/officeDocument/2006/relationships/hyperlink" Target="http://www.sec.gov/cgi-bin/browse-edgar?action=getcompany&amp;CIK=000163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1037</Words>
  <Characters>5201</Characters>
  <CharactersWithSpaces>6038</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