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00"/>
          </w:cols>
          <w:pgMar w:left="460" w:top="219" w:right="4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74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60" w:type="dxa"/>
            <w:vAlign w:val="bottom"/>
            <w:gridSpan w:val="5"/>
          </w:tcPr>
          <w:p>
            <w:pPr>
              <w:ind w:left="2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Lightspeed Venture Partners X, L.P.</w:t>
              </w:r>
            </w:hyperlink>
          </w:p>
        </w:tc>
        <w:tc>
          <w:tcPr>
            <w:tcW w:w="1960" w:type="dxa"/>
            <w:vAlign w:val="bottom"/>
            <w:gridSpan w:val="3"/>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Navan,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NAVN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3"/>
                <w:szCs w:val="13"/>
                <w:color w:val="auto"/>
              </w:rPr>
              <w:t>(Check all applicable)</w:t>
            </w:r>
          </w:p>
        </w:tc>
        <w:tc>
          <w:tcPr>
            <w:tcW w:w="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0" w:type="dxa"/>
            <w:vAlign w:val="bottom"/>
            <w:gridSpan w:val="6"/>
            <w:vMerge w:val="continue"/>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6"/>
            <w:vMerge w:val="continue"/>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vMerge w:val="restart"/>
          </w:tcPr>
          <w:p>
            <w:pPr>
              <w:ind w:left="360"/>
              <w:spacing w:after="0"/>
              <w:rPr>
                <w:sz w:val="20"/>
                <w:szCs w:val="20"/>
                <w:color w:val="auto"/>
              </w:rPr>
            </w:pPr>
            <w:r>
              <w:rPr>
                <w:rFonts w:ascii="Arial" w:cs="Arial" w:eastAsia="Arial" w:hAnsi="Arial"/>
                <w:sz w:val="13"/>
                <w:szCs w:val="13"/>
                <w:color w:val="auto"/>
              </w:rPr>
              <w:t>Director</w:t>
            </w:r>
          </w:p>
        </w:tc>
        <w:tc>
          <w:tcPr>
            <w:tcW w:w="780" w:type="dxa"/>
            <w:vAlign w:val="bottom"/>
          </w:tcPr>
          <w:p>
            <w:pPr>
              <w:spacing w:after="0"/>
              <w:rPr>
                <w:sz w:val="5"/>
                <w:szCs w:val="5"/>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20" w:type="dxa"/>
            <w:vAlign w:val="bottom"/>
            <w:gridSpan w:val="2"/>
            <w:vMerge w:val="restart"/>
          </w:tcPr>
          <w:p>
            <w:pPr>
              <w:ind w:left="360"/>
              <w:spacing w:after="0"/>
              <w:rPr>
                <w:sz w:val="20"/>
                <w:szCs w:val="20"/>
                <w:color w:val="auto"/>
              </w:rPr>
            </w:pPr>
            <w:r>
              <w:rPr>
                <w:rFonts w:ascii="Arial" w:cs="Arial" w:eastAsia="Arial" w:hAnsi="Arial"/>
                <w:sz w:val="13"/>
                <w:szCs w:val="13"/>
                <w:color w:val="auto"/>
              </w:rPr>
              <w:t>Officer (give title</w:t>
            </w: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2"/>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gridSpan w:val="2"/>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400"/>
              <w:spacing w:after="0"/>
              <w:rPr>
                <w:sz w:val="20"/>
                <w:szCs w:val="20"/>
                <w:color w:val="auto"/>
              </w:rPr>
            </w:pPr>
            <w:r>
              <w:rPr>
                <w:rFonts w:ascii="Arial" w:cs="Arial" w:eastAsia="Arial" w:hAnsi="Arial"/>
                <w:sz w:val="13"/>
                <w:szCs w:val="13"/>
                <w:color w:val="auto"/>
              </w:rPr>
              <w:t>(First)</w:t>
            </w:r>
          </w:p>
        </w:tc>
        <w:tc>
          <w:tcPr>
            <w:tcW w:w="1840" w:type="dxa"/>
            <w:vAlign w:val="bottom"/>
            <w:gridSpan w:val="4"/>
          </w:tcPr>
          <w:p>
            <w:pPr>
              <w:ind w:left="480"/>
              <w:spacing w:after="0"/>
              <w:rPr>
                <w:sz w:val="20"/>
                <w:szCs w:val="20"/>
                <w:color w:val="auto"/>
              </w:rPr>
            </w:pPr>
            <w:r>
              <w:rPr>
                <w:rFonts w:ascii="Arial" w:cs="Arial" w:eastAsia="Arial" w:hAnsi="Arial"/>
                <w:sz w:val="13"/>
                <w:szCs w:val="13"/>
                <w:color w:val="auto"/>
              </w:rPr>
              <w:t>(Middle)</w:t>
            </w:r>
          </w:p>
        </w:tc>
        <w:tc>
          <w:tcPr>
            <w:tcW w:w="320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ind w:left="360"/>
              <w:spacing w:after="0"/>
              <w:rPr>
                <w:sz w:val="20"/>
                <w:szCs w:val="20"/>
                <w:color w:val="auto"/>
              </w:rPr>
            </w:pPr>
            <w:r>
              <w:rPr>
                <w:rFonts w:ascii="Arial" w:cs="Arial" w:eastAsia="Arial" w:hAnsi="Arial"/>
                <w:sz w:val="13"/>
                <w:szCs w:val="13"/>
                <w:color w:val="auto"/>
              </w:rPr>
              <w:t>below)</w:t>
            </w:r>
          </w:p>
        </w:tc>
        <w:tc>
          <w:tcPr>
            <w:tcW w:w="78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07/01/2026</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60" w:type="dxa"/>
            <w:vAlign w:val="bottom"/>
            <w:gridSpan w:val="5"/>
            <w:vMerge w:val="restart"/>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32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3"/>
                <w:szCs w:val="13"/>
                <w:color w:val="auto"/>
              </w:rPr>
              <w:t>Line)</w:t>
            </w: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80" w:type="dxa"/>
            <w:vAlign w:val="bottom"/>
            <w:gridSpan w:val="4"/>
          </w:tcPr>
          <w:p>
            <w:pPr>
              <w:ind w:left="3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MENLO PARK CA</w:t>
            </w:r>
          </w:p>
        </w:tc>
        <w:tc>
          <w:tcPr>
            <w:tcW w:w="1100" w:type="dxa"/>
            <w:vAlign w:val="bottom"/>
          </w:tcPr>
          <w:p>
            <w:pPr>
              <w:ind w:left="480"/>
              <w:spacing w:after="0" w:line="189" w:lineRule="exact"/>
              <w:rPr>
                <w:sz w:val="20"/>
                <w:szCs w:val="20"/>
                <w:color w:val="auto"/>
              </w:rPr>
            </w:pPr>
            <w:r>
              <w:rPr>
                <w:rFonts w:ascii="Times New Roman" w:cs="Times New Roman" w:eastAsia="Times New Roman" w:hAnsi="Times New Roman"/>
                <w:sz w:val="17"/>
                <w:szCs w:val="17"/>
                <w:color w:val="0000FF"/>
              </w:rPr>
              <w:t>94025</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80" w:type="dxa"/>
            <w:vAlign w:val="bottom"/>
            <w:gridSpan w:val="4"/>
          </w:tcPr>
          <w:p>
            <w:pPr>
              <w:ind w:left="3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ind w:left="360"/>
              <w:spacing w:after="0"/>
              <w:rPr>
                <w:sz w:val="20"/>
                <w:szCs w:val="20"/>
                <w:color w:val="auto"/>
              </w:rPr>
            </w:pPr>
            <w:r>
              <w:rPr>
                <w:rFonts w:ascii="Arial" w:cs="Arial" w:eastAsia="Arial" w:hAnsi="Arial"/>
                <w:sz w:val="13"/>
                <w:szCs w:val="13"/>
                <w:color w:val="auto"/>
              </w:rPr>
              <w:t>Person</w:t>
            </w: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400"/>
              <w:spacing w:after="0"/>
              <w:rPr>
                <w:sz w:val="20"/>
                <w:szCs w:val="20"/>
                <w:color w:val="auto"/>
              </w:rPr>
            </w:pPr>
            <w:r>
              <w:rPr>
                <w:rFonts w:ascii="Arial" w:cs="Arial" w:eastAsia="Arial" w:hAnsi="Arial"/>
                <w:sz w:val="13"/>
                <w:szCs w:val="13"/>
                <w:color w:val="auto"/>
              </w:rPr>
              <w:t>(State)</w:t>
            </w:r>
          </w:p>
        </w:tc>
        <w:tc>
          <w:tcPr>
            <w:tcW w:w="1840" w:type="dxa"/>
            <w:vAlign w:val="bottom"/>
            <w:gridSpan w:val="4"/>
          </w:tcPr>
          <w:p>
            <w:pPr>
              <w:ind w:left="480"/>
              <w:spacing w:after="0"/>
              <w:rPr>
                <w:sz w:val="20"/>
                <w:szCs w:val="20"/>
                <w:color w:val="auto"/>
              </w:rPr>
            </w:pPr>
            <w:r>
              <w:rPr>
                <w:rFonts w:ascii="Arial" w:cs="Arial" w:eastAsia="Arial" w:hAnsi="Arial"/>
                <w:sz w:val="13"/>
                <w:szCs w:val="13"/>
                <w:color w:val="auto"/>
              </w:rPr>
              <w:t>(Zip)</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2760" w:type="dxa"/>
            <w:vAlign w:val="bottom"/>
            <w:tcBorders>
              <w:bottom w:val="single" w:sz="8" w:color="2C2C2C"/>
            </w:tcBorders>
            <w:gridSpan w:val="5"/>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6960" w:type="dxa"/>
            <w:vAlign w:val="bottom"/>
            <w:tcBorders>
              <w:top w:val="single" w:sz="8" w:color="2C2C2C"/>
            </w:tcBorders>
            <w:gridSpan w:val="13"/>
          </w:tcPr>
          <w:p>
            <w:pPr>
              <w:ind w:left="1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6. Ownership  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40" w:type="dxa"/>
            <w:vAlign w:val="bottom"/>
            <w:gridSpan w:val="4"/>
          </w:tcPr>
          <w:p>
            <w:pPr>
              <w:ind w:left="84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40" w:type="dxa"/>
            <w:vAlign w:val="bottom"/>
            <w:gridSpan w:val="4"/>
          </w:tcPr>
          <w:p>
            <w:pPr>
              <w:ind w:left="8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 or</w:t>
            </w: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11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78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ind w:left="940"/>
              <w:spacing w:after="0"/>
              <w:rPr>
                <w:sz w:val="20"/>
                <w:szCs w:val="20"/>
                <w:color w:val="auto"/>
              </w:rPr>
            </w:pPr>
            <w:r>
              <w:rPr>
                <w:rFonts w:ascii="Times New Roman" w:cs="Times New Roman" w:eastAsia="Times New Roman" w:hAnsi="Times New Roman"/>
                <w:sz w:val="17"/>
                <w:szCs w:val="17"/>
                <w:color w:val="0000FF"/>
              </w:rPr>
              <w:t>07/01/2026</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10,569</w:t>
            </w:r>
          </w:p>
        </w:tc>
        <w:tc>
          <w:tcPr>
            <w:tcW w:w="4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gridSpan w:val="3"/>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24.65</w:t>
            </w:r>
            <w:r>
              <w:rPr>
                <w:rFonts w:ascii="Times New Roman" w:cs="Times New Roman" w:eastAsia="Times New Roman" w:hAnsi="Times New Roman"/>
                <w:sz w:val="22"/>
                <w:szCs w:val="22"/>
                <w:color w:val="008000"/>
                <w:vertAlign w:val="superscript"/>
              </w:rPr>
              <w:t>(1)</w:t>
            </w: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78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19,860,677</w:t>
            </w:r>
          </w:p>
        </w:tc>
        <w:tc>
          <w:tcPr>
            <w:tcW w:w="78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Partners X,</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192,885</w:t>
            </w:r>
          </w:p>
        </w:tc>
        <w:tc>
          <w:tcPr>
            <w:tcW w:w="78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1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Affiliates X,</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2,280,989</w:t>
            </w:r>
          </w:p>
        </w:tc>
        <w:tc>
          <w:tcPr>
            <w:tcW w:w="78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1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587,965</w:t>
            </w:r>
          </w:p>
        </w:tc>
        <w:tc>
          <w:tcPr>
            <w:tcW w:w="78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Strategic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Partners I</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12,630,655</w:t>
            </w:r>
          </w:p>
        </w:tc>
        <w:tc>
          <w:tcPr>
            <w:tcW w:w="78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1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Select II,</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6,134,518</w:t>
            </w:r>
          </w:p>
        </w:tc>
        <w:tc>
          <w:tcPr>
            <w:tcW w:w="78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bl>
    <w:p>
      <w:pPr>
        <w:ind w:left="9980"/>
        <w:spacing w:after="0"/>
        <w:rPr>
          <w:sz w:val="20"/>
          <w:szCs w:val="20"/>
          <w:color w:val="auto"/>
        </w:rPr>
      </w:pPr>
      <w:r>
        <w:rPr>
          <w:rFonts w:ascii="Times New Roman" w:cs="Times New Roman" w:eastAsia="Times New Roman" w:hAnsi="Times New Roman"/>
          <w:sz w:val="17"/>
          <w:szCs w:val="17"/>
          <w:color w:val="0000FF"/>
        </w:rPr>
        <w:t>Partners</w:t>
      </w:r>
    </w:p>
    <w:p>
      <w:pPr>
        <w:spacing w:after="0" w:line="11"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7"/>
          <w:szCs w:val="17"/>
          <w:color w:val="0000FF"/>
        </w:rPr>
        <w:t>Select III,</w:t>
      </w:r>
    </w:p>
    <w:p>
      <w:pPr>
        <w:spacing w:after="0" w:line="18"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(9)</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0980"/>
          </w:cols>
          <w:pgMar w:left="460" w:top="219" w:right="4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 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120" w:type="dxa"/>
            <w:vAlign w:val="bottom"/>
            <w:gridSpan w:val="21"/>
          </w:tcPr>
          <w:p>
            <w:pPr>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4"/>
          </w:tcPr>
          <w:p>
            <w:pPr>
              <w:ind w:left="40"/>
              <w:spacing w:after="0" w:line="80" w:lineRule="exact"/>
              <w:rPr>
                <w:sz w:val="20"/>
                <w:szCs w:val="20"/>
                <w:color w:val="auto"/>
              </w:rPr>
            </w:pPr>
            <w:r>
              <w:rPr>
                <w:rFonts w:ascii="Arial" w:cs="Arial" w:eastAsia="Arial" w:hAnsi="Arial"/>
                <w:sz w:val="8"/>
                <w:szCs w:val="8"/>
                <w:b w:val="1"/>
                <w:bCs w:val="1"/>
                <w:color w:val="auto"/>
              </w:rPr>
              <w:t>Execution Date,</w:t>
            </w:r>
          </w:p>
        </w:tc>
        <w:tc>
          <w:tcPr>
            <w:tcW w:w="820" w:type="dxa"/>
            <w:vAlign w:val="bottom"/>
            <w:gridSpan w:val="6"/>
          </w:tcPr>
          <w:p>
            <w:pPr>
              <w:ind w:left="60"/>
              <w:spacing w:after="0" w:line="80" w:lineRule="exact"/>
              <w:rPr>
                <w:sz w:val="20"/>
                <w:szCs w:val="20"/>
                <w:color w:val="auto"/>
              </w:rPr>
            </w:pPr>
            <w:r>
              <w:rPr>
                <w:rFonts w:ascii="Arial" w:cs="Arial" w:eastAsia="Arial" w:hAnsi="Arial"/>
                <w:sz w:val="8"/>
                <w:szCs w:val="8"/>
                <w:b w:val="1"/>
                <w:bCs w:val="1"/>
                <w:color w:val="auto"/>
              </w:rPr>
              <w:t>Transaction</w:t>
            </w:r>
          </w:p>
        </w:tc>
        <w:tc>
          <w:tcPr>
            <w:tcW w:w="4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300" w:type="dxa"/>
            <w:vAlign w:val="bottom"/>
          </w:tcPr>
          <w:p>
            <w:pPr>
              <w:spacing w:after="0"/>
              <w:rPr>
                <w:sz w:val="6"/>
                <w:szCs w:val="6"/>
                <w:color w:val="auto"/>
              </w:rPr>
            </w:pP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060" w:type="dxa"/>
            <w:vAlign w:val="bottom"/>
            <w:gridSpan w:val="3"/>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tcPr>
          <w:p>
            <w:pPr>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gridSpan w:val="2"/>
          </w:tcPr>
          <w:p>
            <w:pPr>
              <w:ind w:left="60"/>
              <w:spacing w:after="0"/>
              <w:rPr>
                <w:sz w:val="20"/>
                <w:szCs w:val="20"/>
                <w:color w:val="auto"/>
              </w:rPr>
            </w:pPr>
            <w:r>
              <w:rPr>
                <w:rFonts w:ascii="Arial" w:cs="Arial" w:eastAsia="Arial" w:hAnsi="Arial"/>
                <w:sz w:val="2"/>
                <w:szCs w:val="2"/>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2"/>
                <w:szCs w:val="2"/>
                <w:b w:val="1"/>
                <w:bCs w:val="1"/>
                <w:color w:val="auto"/>
              </w:rPr>
              <w:t>or Exercise</w:t>
            </w:r>
          </w:p>
        </w:tc>
        <w:tc>
          <w:tcPr>
            <w:tcW w:w="1180" w:type="dxa"/>
            <w:vAlign w:val="bottom"/>
            <w:gridSpan w:val="3"/>
          </w:tcPr>
          <w:p>
            <w:pPr>
              <w:ind w:left="100"/>
              <w:spacing w:after="0"/>
              <w:rPr>
                <w:sz w:val="20"/>
                <w:szCs w:val="20"/>
                <w:color w:val="auto"/>
              </w:rPr>
            </w:pPr>
            <w:r>
              <w:rPr>
                <w:rFonts w:ascii="Arial" w:cs="Arial" w:eastAsia="Arial" w:hAnsi="Arial"/>
                <w:sz w:val="2"/>
                <w:szCs w:val="2"/>
                <w:b w:val="1"/>
                <w:bCs w:val="1"/>
                <w:color w:val="auto"/>
              </w:rPr>
              <w:t>(Month/Day/Year)</w:t>
            </w:r>
          </w:p>
        </w:tc>
        <w:tc>
          <w:tcPr>
            <w:tcW w:w="5260" w:type="dxa"/>
            <w:vAlign w:val="bottom"/>
            <w:gridSpan w:val="17"/>
          </w:tcPr>
          <w:p>
            <w:pPr>
              <w:ind w:left="40"/>
              <w:spacing w:after="0"/>
              <w:rPr>
                <w:sz w:val="20"/>
                <w:szCs w:val="20"/>
                <w:color w:val="auto"/>
              </w:rPr>
            </w:pPr>
            <w:r>
              <w:rPr>
                <w:rFonts w:ascii="Arial" w:cs="Arial" w:eastAsia="Arial" w:hAnsi="Arial"/>
                <w:sz w:val="1"/>
                <w:szCs w:val="1"/>
                <w:b w:val="1"/>
                <w:bCs w:val="1"/>
                <w:color w:val="auto"/>
              </w:rPr>
              <w:t xml:space="preserve">if any  </w:t>
            </w:r>
            <w:r>
              <w:rPr>
                <w:rFonts w:ascii="Arial" w:cs="Arial" w:eastAsia="Arial" w:hAnsi="Arial"/>
                <w:sz w:val="2"/>
                <w:szCs w:val="2"/>
                <w:b w:val="1"/>
                <w:bCs w:val="1"/>
                <w:color w:val="auto"/>
              </w:rPr>
              <w:t>(e.g., puts, calls, warrants, options, convertible securities)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gridSpan w:val="6"/>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Derivative</w:t>
            </w:r>
          </w:p>
        </w:tc>
        <w:tc>
          <w:tcPr>
            <w:tcW w:w="9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Derivative</w:t>
            </w:r>
          </w:p>
        </w:tc>
        <w:tc>
          <w:tcPr>
            <w:tcW w:w="64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or Indirect</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74" w:lineRule="exact"/>
              <w:rPr>
                <w:sz w:val="20"/>
                <w:szCs w:val="20"/>
                <w:color w:val="auto"/>
              </w:rPr>
            </w:pPr>
            <w:r>
              <w:rPr>
                <w:rFonts w:ascii="Arial" w:cs="Arial" w:eastAsia="Arial" w:hAnsi="Arial"/>
                <w:sz w:val="8"/>
                <w:szCs w:val="8"/>
                <w:b w:val="1"/>
                <w:bCs w:val="1"/>
                <w:color w:val="auto"/>
              </w:rPr>
              <w:t>Security</w:t>
            </w:r>
          </w:p>
        </w:tc>
        <w:tc>
          <w:tcPr>
            <w:tcW w:w="92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ind w:left="80"/>
              <w:spacing w:after="0" w:line="74" w:lineRule="exact"/>
              <w:rPr>
                <w:sz w:val="20"/>
                <w:szCs w:val="20"/>
                <w:color w:val="auto"/>
              </w:rPr>
            </w:pPr>
            <w:r>
              <w:rPr>
                <w:rFonts w:ascii="Arial" w:cs="Arial" w:eastAsia="Arial" w:hAnsi="Arial"/>
                <w:sz w:val="8"/>
                <w:szCs w:val="8"/>
                <w:b w:val="1"/>
                <w:bCs w:val="1"/>
                <w:color w:val="auto"/>
              </w:rPr>
              <w:t>(A) or</w:t>
            </w:r>
          </w:p>
        </w:tc>
        <w:tc>
          <w:tcPr>
            <w:tcW w:w="300" w:type="dxa"/>
            <w:vAlign w:val="bottom"/>
          </w:tcPr>
          <w:p>
            <w:pPr>
              <w:spacing w:after="0"/>
              <w:rPr>
                <w:sz w:val="6"/>
                <w:szCs w:val="6"/>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Security (Instr.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74" w:lineRule="exact"/>
              <w:rPr>
                <w:sz w:val="20"/>
                <w:szCs w:val="20"/>
                <w:color w:val="auto"/>
              </w:rPr>
            </w:pPr>
            <w:r>
              <w:rPr>
                <w:rFonts w:ascii="Arial" w:cs="Arial" w:eastAsia="Arial" w:hAnsi="Arial"/>
                <w:sz w:val="8"/>
                <w:szCs w:val="8"/>
                <w:b w:val="1"/>
                <w:bCs w:val="1"/>
                <w:color w:val="auto"/>
              </w:rPr>
              <w:t>Following</w:t>
            </w:r>
          </w:p>
        </w:tc>
        <w:tc>
          <w:tcPr>
            <w:tcW w:w="760" w:type="dxa"/>
            <w:vAlign w:val="bottom"/>
          </w:tcPr>
          <w:p>
            <w:pPr>
              <w:ind w:left="80"/>
              <w:spacing w:after="0" w:line="74" w:lineRule="exact"/>
              <w:rPr>
                <w:sz w:val="20"/>
                <w:szCs w:val="20"/>
                <w:color w:val="auto"/>
              </w:rPr>
            </w:pPr>
            <w:r>
              <w:rPr>
                <w:rFonts w:ascii="Arial" w:cs="Arial" w:eastAsia="Arial" w:hAnsi="Arial"/>
                <w:sz w:val="8"/>
                <w:szCs w:val="8"/>
                <w:b w:val="1"/>
                <w:bCs w:val="1"/>
                <w:color w:val="auto"/>
              </w:rPr>
              <w:t>(I) (Instr. 4)</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2.</w:t>
            </w:r>
          </w:p>
        </w:tc>
        <w:tc>
          <w:tcPr>
            <w:tcW w:w="9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4"/>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5. Number</w:t>
            </w:r>
          </w:p>
        </w:tc>
        <w:tc>
          <w:tcPr>
            <w:tcW w:w="1540" w:type="dxa"/>
            <w:vAlign w:val="bottom"/>
            <w:gridSpan w:val="2"/>
            <w:vMerge w:val="continue"/>
          </w:tcPr>
          <w:p>
            <w:pPr>
              <w:spacing w:after="0"/>
              <w:rPr>
                <w:sz w:val="6"/>
                <w:szCs w:val="6"/>
                <w:color w:val="auto"/>
              </w:rPr>
            </w:pPr>
          </w:p>
        </w:tc>
        <w:tc>
          <w:tcPr>
            <w:tcW w:w="1060" w:type="dxa"/>
            <w:vAlign w:val="bottom"/>
            <w:gridSpan w:val="3"/>
          </w:tcPr>
          <w:p>
            <w:pPr>
              <w:ind w:left="60"/>
              <w:spacing w:after="0" w:line="80" w:lineRule="exact"/>
              <w:rPr>
                <w:sz w:val="20"/>
                <w:szCs w:val="20"/>
                <w:color w:val="auto"/>
              </w:rPr>
            </w:pPr>
            <w:r>
              <w:rPr>
                <w:rFonts w:ascii="Arial" w:cs="Arial" w:eastAsia="Arial" w:hAnsi="Arial"/>
                <w:sz w:val="8"/>
                <w:szCs w:val="8"/>
                <w:b w:val="1"/>
                <w:bCs w:val="1"/>
                <w:color w:val="auto"/>
              </w:rPr>
              <w:t>7. Title and</w:t>
            </w:r>
          </w:p>
        </w:tc>
        <w:tc>
          <w:tcPr>
            <w:tcW w:w="640" w:type="dxa"/>
            <w:vAlign w:val="bottom"/>
            <w:vMerge w:val="continue"/>
          </w:tcPr>
          <w:p>
            <w:pPr>
              <w:spacing w:after="0"/>
              <w:rPr>
                <w:sz w:val="6"/>
                <w:szCs w:val="6"/>
                <w:color w:val="auto"/>
              </w:rPr>
            </w:pP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9. Number of</w:t>
            </w:r>
          </w:p>
        </w:tc>
        <w:tc>
          <w:tcPr>
            <w:tcW w:w="7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10.</w:t>
            </w: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6"/>
            <w:vMerge w:val="restart"/>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80"/>
              <w:spacing w:after="0" w:line="54" w:lineRule="exact"/>
              <w:rPr>
                <w:sz w:val="20"/>
                <w:szCs w:val="20"/>
                <w:color w:val="auto"/>
              </w:rPr>
            </w:pPr>
            <w:r>
              <w:rPr>
                <w:rFonts w:ascii="Arial" w:cs="Arial" w:eastAsia="Arial" w:hAnsi="Arial"/>
                <w:sz w:val="6"/>
                <w:szCs w:val="6"/>
                <w:b w:val="1"/>
                <w:bCs w:val="1"/>
                <w:color w:val="auto"/>
              </w:rPr>
              <w:t>Disposed</w:t>
            </w: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54" w:lineRule="exact"/>
              <w:rPr>
                <w:sz w:val="20"/>
                <w:szCs w:val="20"/>
                <w:color w:val="auto"/>
              </w:rPr>
            </w:pPr>
            <w:r>
              <w:rPr>
                <w:rFonts w:ascii="Arial" w:cs="Arial" w:eastAsia="Arial" w:hAnsi="Arial"/>
                <w:sz w:val="6"/>
                <w:szCs w:val="6"/>
                <w:b w:val="1"/>
                <w:bCs w:val="1"/>
                <w:color w:val="auto"/>
              </w:rPr>
              <w:t>3 and 4)</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Reported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4"/>
            <w:vMerge w:val="continue"/>
          </w:tcPr>
          <w:p>
            <w:pPr>
              <w:spacing w:after="0"/>
              <w:rPr>
                <w:sz w:val="6"/>
                <w:szCs w:val="6"/>
                <w:color w:val="auto"/>
              </w:rPr>
            </w:pPr>
          </w:p>
        </w:tc>
        <w:tc>
          <w:tcPr>
            <w:tcW w:w="820" w:type="dxa"/>
            <w:vAlign w:val="bottom"/>
            <w:gridSpan w:val="6"/>
            <w:vMerge w:val="continue"/>
          </w:tcPr>
          <w:p>
            <w:pPr>
              <w:spacing w:after="0"/>
              <w:rPr>
                <w:sz w:val="6"/>
                <w:szCs w:val="6"/>
                <w:color w:val="auto"/>
              </w:rPr>
            </w:pPr>
          </w:p>
        </w:tc>
        <w:tc>
          <w:tcPr>
            <w:tcW w:w="4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30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1060" w:type="dxa"/>
            <w:vAlign w:val="bottom"/>
            <w:gridSpan w:val="3"/>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vMerge w:val="continue"/>
          </w:tcPr>
          <w:p>
            <w:pPr>
              <w:spacing w:after="0"/>
              <w:rPr>
                <w:sz w:val="6"/>
                <w:szCs w:val="6"/>
                <w:color w:val="auto"/>
              </w:rPr>
            </w:pP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vMerge w:val="restart"/>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6"/>
            <w:vMerge w:val="restart"/>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of (D)</w:t>
            </w:r>
          </w:p>
        </w:tc>
        <w:tc>
          <w:tcPr>
            <w:tcW w:w="300" w:type="dxa"/>
            <w:vAlign w:val="bottom"/>
          </w:tcPr>
          <w:p>
            <w:pPr>
              <w:spacing w:after="0"/>
              <w:rPr>
                <w:sz w:val="4"/>
                <w:szCs w:val="4"/>
                <w:color w:val="auto"/>
              </w:rPr>
            </w:pP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Transaction(s)</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100" w:type="dxa"/>
            <w:vAlign w:val="bottom"/>
            <w:gridSpan w:val="4"/>
            <w:vMerge w:val="continue"/>
          </w:tcPr>
          <w:p>
            <w:pPr>
              <w:spacing w:after="0"/>
              <w:rPr>
                <w:sz w:val="6"/>
                <w:szCs w:val="6"/>
                <w:color w:val="auto"/>
              </w:rPr>
            </w:pPr>
          </w:p>
        </w:tc>
        <w:tc>
          <w:tcPr>
            <w:tcW w:w="820" w:type="dxa"/>
            <w:vAlign w:val="bottom"/>
            <w:gridSpan w:val="6"/>
            <w:vMerge w:val="continue"/>
          </w:tcPr>
          <w:p>
            <w:pPr>
              <w:spacing w:after="0"/>
              <w:rPr>
                <w:sz w:val="6"/>
                <w:szCs w:val="6"/>
                <w:color w:val="auto"/>
              </w:rPr>
            </w:pPr>
          </w:p>
        </w:tc>
        <w:tc>
          <w:tcPr>
            <w:tcW w:w="74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1540" w:type="dxa"/>
            <w:vAlign w:val="bottom"/>
            <w:gridSpan w:val="2"/>
            <w:vMerge w:val="continue"/>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Securities</w:t>
            </w: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gridSpan w:val="2"/>
          </w:tcPr>
          <w:p>
            <w:pPr>
              <w:ind w:left="80"/>
              <w:spacing w:after="0" w:line="54" w:lineRule="exact"/>
              <w:rPr>
                <w:sz w:val="20"/>
                <w:szCs w:val="20"/>
                <w:color w:val="auto"/>
              </w:rPr>
            </w:pPr>
            <w:r>
              <w:rPr>
                <w:rFonts w:ascii="Arial" w:cs="Arial" w:eastAsia="Arial" w:hAnsi="Arial"/>
                <w:sz w:val="6"/>
                <w:szCs w:val="6"/>
                <w:b w:val="1"/>
                <w:bCs w:val="1"/>
                <w:color w:val="auto"/>
              </w:rPr>
              <w:t>(Instr. 3, 4</w:t>
            </w: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(Instr. 4)</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4"/>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Beneficially</w:t>
            </w: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vMerge w:val="restart"/>
          </w:tcPr>
          <w:p>
            <w:pPr>
              <w:ind w:left="60"/>
              <w:spacing w:after="0" w:line="11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and 5)</w:t>
            </w: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3"/>
            <w:vMerge w:val="restart"/>
          </w:tcPr>
          <w:p>
            <w:pPr>
              <w:ind w:left="60"/>
              <w:spacing w:after="0" w:line="11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4"/>
                <w:szCs w:val="4"/>
                <w:color w:val="auto"/>
              </w:rPr>
            </w:pPr>
          </w:p>
        </w:tc>
        <w:tc>
          <w:tcPr>
            <w:tcW w:w="960" w:type="dxa"/>
            <w:vAlign w:val="bottom"/>
            <w:vMerge w:val="restart"/>
          </w:tcPr>
          <w:p>
            <w:pPr>
              <w:ind w:left="80"/>
              <w:spacing w:after="0" w:line="113" w:lineRule="exact"/>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line="11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line="11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gridSpan w:val="2"/>
          </w:tcPr>
          <w:p>
            <w:pPr>
              <w:ind w:left="80"/>
              <w:spacing w:after="0" w:line="60" w:lineRule="exact"/>
              <w:rPr>
                <w:sz w:val="20"/>
                <w:szCs w:val="20"/>
                <w:color w:val="auto"/>
              </w:rPr>
            </w:pPr>
            <w:r>
              <w:rPr>
                <w:rFonts w:ascii="Arial" w:cs="Arial" w:eastAsia="Arial" w:hAnsi="Arial"/>
                <w:sz w:val="6"/>
                <w:szCs w:val="6"/>
                <w:b w:val="1"/>
                <w:bCs w:val="1"/>
                <w:color w:val="auto"/>
              </w:rPr>
              <w:t>Acquired</w:t>
            </w: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ind w:left="60"/>
              <w:spacing w:after="0" w:line="107"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top w:val="single" w:sz="8" w:color="2C2C2C"/>
            </w:tcBorders>
          </w:tcPr>
          <w:p>
            <w:pPr>
              <w:spacing w:after="0"/>
              <w:rPr>
                <w:sz w:val="9"/>
                <w:szCs w:val="9"/>
                <w:color w:val="auto"/>
              </w:rPr>
            </w:pPr>
          </w:p>
        </w:tc>
        <w:tc>
          <w:tcPr>
            <w:tcW w:w="280" w:type="dxa"/>
            <w:vAlign w:val="bottom"/>
            <w:tcBorders>
              <w:top w:val="single" w:sz="8" w:color="2C2C2C"/>
            </w:tcBorders>
          </w:tcPr>
          <w:p>
            <w:pPr>
              <w:spacing w:after="0"/>
              <w:rPr>
                <w:sz w:val="9"/>
                <w:szCs w:val="9"/>
                <w:color w:val="auto"/>
              </w:rPr>
            </w:pPr>
          </w:p>
        </w:tc>
        <w:tc>
          <w:tcPr>
            <w:tcW w:w="60" w:type="dxa"/>
            <w:vAlign w:val="bottom"/>
            <w:tcBorders>
              <w:top w:val="single" w:sz="8" w:color="2C2C2C"/>
            </w:tcBorders>
          </w:tcPr>
          <w:p>
            <w:pPr>
              <w:spacing w:after="0"/>
              <w:rPr>
                <w:sz w:val="9"/>
                <w:szCs w:val="9"/>
                <w:color w:val="auto"/>
              </w:rPr>
            </w:pPr>
          </w:p>
        </w:tc>
        <w:tc>
          <w:tcPr>
            <w:tcW w:w="100" w:type="dxa"/>
            <w:vAlign w:val="bottom"/>
            <w:tcBorders>
              <w:top w:val="single" w:sz="8" w:color="2C2C2C"/>
            </w:tcBorders>
          </w:tcPr>
          <w:p>
            <w:pPr>
              <w:spacing w:after="0"/>
              <w:rPr>
                <w:sz w:val="9"/>
                <w:szCs w:val="9"/>
                <w:color w:val="auto"/>
              </w:rPr>
            </w:pPr>
          </w:p>
        </w:tc>
        <w:tc>
          <w:tcPr>
            <w:tcW w:w="20" w:type="dxa"/>
            <w:vAlign w:val="bottom"/>
            <w:tcBorders>
              <w:top w:val="single" w:sz="8" w:color="2C2C2C"/>
            </w:tcBorders>
          </w:tcPr>
          <w:p>
            <w:pPr>
              <w:spacing w:after="0"/>
              <w:rPr>
                <w:sz w:val="9"/>
                <w:szCs w:val="9"/>
                <w:color w:val="auto"/>
              </w:rPr>
            </w:pPr>
          </w:p>
        </w:tc>
        <w:tc>
          <w:tcPr>
            <w:tcW w:w="200" w:type="dxa"/>
            <w:vAlign w:val="bottom"/>
            <w:tcBorders>
              <w:top w:val="single" w:sz="8" w:color="2C2C2C"/>
            </w:tcBorders>
          </w:tcPr>
          <w:p>
            <w:pPr>
              <w:spacing w:after="0"/>
              <w:rPr>
                <w:sz w:val="9"/>
                <w:szCs w:val="9"/>
                <w:color w:val="auto"/>
              </w:rPr>
            </w:pPr>
          </w:p>
        </w:tc>
        <w:tc>
          <w:tcPr>
            <w:tcW w:w="440" w:type="dxa"/>
            <w:vAlign w:val="bottom"/>
            <w:tcBorders>
              <w:top w:val="single" w:sz="8" w:color="2C2C2C"/>
            </w:tcBorders>
          </w:tcPr>
          <w:p>
            <w:pPr>
              <w:ind w:left="80"/>
              <w:spacing w:after="0" w:line="107" w:lineRule="exact"/>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9"/>
                <w:szCs w:val="9"/>
                <w:color w:val="auto"/>
              </w:rPr>
            </w:pPr>
          </w:p>
        </w:tc>
        <w:tc>
          <w:tcPr>
            <w:tcW w:w="800" w:type="dxa"/>
            <w:vAlign w:val="bottom"/>
            <w:tcBorders>
              <w:top w:val="single" w:sz="8" w:color="2C2C2C"/>
            </w:tcBorders>
          </w:tcPr>
          <w:p>
            <w:pPr>
              <w:spacing w:after="0"/>
              <w:rPr>
                <w:sz w:val="9"/>
                <w:szCs w:val="9"/>
                <w:color w:val="auto"/>
              </w:rPr>
            </w:pPr>
          </w:p>
        </w:tc>
        <w:tc>
          <w:tcPr>
            <w:tcW w:w="740" w:type="dxa"/>
            <w:vAlign w:val="bottom"/>
            <w:tcBorders>
              <w:top w:val="single" w:sz="8" w:color="2C2C2C"/>
            </w:tcBorders>
          </w:tcPr>
          <w:p>
            <w:pPr>
              <w:spacing w:after="0"/>
              <w:rPr>
                <w:sz w:val="9"/>
                <w:szCs w:val="9"/>
                <w:color w:val="auto"/>
              </w:rPr>
            </w:pPr>
          </w:p>
        </w:tc>
        <w:tc>
          <w:tcPr>
            <w:tcW w:w="980" w:type="dxa"/>
            <w:vAlign w:val="bottom"/>
            <w:tcBorders>
              <w:top w:val="single" w:sz="8" w:color="2C2C2C"/>
            </w:tcBorders>
            <w:gridSpan w:val="2"/>
          </w:tcPr>
          <w:p>
            <w:pPr>
              <w:ind w:left="60"/>
              <w:spacing w:after="0" w:line="107"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gridSpan w:val="2"/>
          </w:tcPr>
          <w:p>
            <w:pPr>
              <w:ind w:left="80"/>
              <w:spacing w:after="0" w:line="54" w:lineRule="exact"/>
              <w:rPr>
                <w:sz w:val="20"/>
                <w:szCs w:val="20"/>
                <w:color w:val="auto"/>
              </w:rPr>
            </w:pPr>
            <w:r>
              <w:rPr>
                <w:rFonts w:ascii="Arial" w:cs="Arial" w:eastAsia="Arial" w:hAnsi="Arial"/>
                <w:sz w:val="6"/>
                <w:szCs w:val="6"/>
                <w:b w:val="1"/>
                <w:bCs w:val="1"/>
                <w:color w:val="auto"/>
              </w:rPr>
              <w:t>Amount</w:t>
            </w:r>
          </w:p>
        </w:tc>
        <w:tc>
          <w:tcPr>
            <w:tcW w:w="640" w:type="dxa"/>
            <w:vAlign w:val="bottom"/>
          </w:tcPr>
          <w:p>
            <w:pPr>
              <w:spacing w:after="0"/>
              <w:rPr>
                <w:sz w:val="4"/>
                <w:szCs w:val="4"/>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3"/>
          </w:tcPr>
          <w:p>
            <w:pPr>
              <w:ind w:left="60"/>
              <w:spacing w:after="0" w:line="80" w:lineRule="exact"/>
              <w:rPr>
                <w:sz w:val="20"/>
                <w:szCs w:val="20"/>
                <w:color w:val="auto"/>
              </w:rPr>
            </w:pPr>
            <w:r>
              <w:rPr>
                <w:rFonts w:ascii="Arial" w:cs="Arial" w:eastAsia="Arial" w:hAnsi="Arial"/>
                <w:sz w:val="8"/>
                <w:szCs w:val="8"/>
                <w:b w:val="1"/>
                <w:bCs w:val="1"/>
                <w:color w:val="auto"/>
              </w:rPr>
              <w:t>3 and 4)</w:t>
            </w:r>
          </w:p>
        </w:tc>
        <w:tc>
          <w:tcPr>
            <w:tcW w:w="6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gridSpan w:val="2"/>
          </w:tcPr>
          <w:p>
            <w:pPr>
              <w:ind w:left="80"/>
              <w:spacing w:after="0" w:line="66" w:lineRule="exact"/>
              <w:rPr>
                <w:sz w:val="20"/>
                <w:szCs w:val="20"/>
                <w:color w:val="auto"/>
              </w:rPr>
            </w:pPr>
            <w:r>
              <w:rPr>
                <w:rFonts w:ascii="Arial" w:cs="Arial" w:eastAsia="Arial" w:hAnsi="Arial"/>
                <w:sz w:val="7"/>
                <w:szCs w:val="7"/>
                <w:b w:val="1"/>
                <w:bCs w:val="1"/>
                <w:color w:val="auto"/>
              </w:rPr>
              <w:t>or</w:t>
            </w:r>
          </w:p>
        </w:tc>
        <w:tc>
          <w:tcPr>
            <w:tcW w:w="640" w:type="dxa"/>
            <w:vAlign w:val="bottom"/>
          </w:tcPr>
          <w:p>
            <w:pPr>
              <w:spacing w:after="0"/>
              <w:rPr>
                <w:sz w:val="5"/>
                <w:szCs w:val="5"/>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6"/>
                <w:szCs w:val="6"/>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440" w:type="dxa"/>
            <w:vAlign w:val="bottom"/>
          </w:tcPr>
          <w:p>
            <w:pPr>
              <w:ind w:left="80"/>
              <w:spacing w:after="0" w:line="66" w:lineRule="exact"/>
              <w:rPr>
                <w:sz w:val="20"/>
                <w:szCs w:val="20"/>
                <w:color w:val="auto"/>
              </w:rPr>
            </w:pPr>
            <w:r>
              <w:rPr>
                <w:rFonts w:ascii="Arial" w:cs="Arial" w:eastAsia="Arial" w:hAnsi="Arial"/>
                <w:sz w:val="7"/>
                <w:szCs w:val="7"/>
                <w:b w:val="1"/>
                <w:bCs w:val="1"/>
                <w:color w:val="auto"/>
              </w:rPr>
              <w:t>and 5)</w:t>
            </w:r>
          </w:p>
        </w:tc>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380" w:type="dxa"/>
            <w:vAlign w:val="bottom"/>
            <w:gridSpan w:val="4"/>
            <w:vMerge w:val="continue"/>
          </w:tcPr>
          <w:p>
            <w:pPr>
              <w:spacing w:after="0"/>
              <w:rPr>
                <w:sz w:val="12"/>
                <w:szCs w:val="12"/>
                <w:color w:val="auto"/>
              </w:rPr>
            </w:pPr>
          </w:p>
        </w:tc>
        <w:tc>
          <w:tcPr>
            <w:tcW w:w="4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w:t>
            </w:r>
          </w:p>
        </w:tc>
        <w:tc>
          <w:tcPr>
            <w:tcW w:w="300" w:type="dxa"/>
            <w:vAlign w:val="bottom"/>
            <w:vMerge w:val="continue"/>
          </w:tcPr>
          <w:p>
            <w:pPr>
              <w:spacing w:after="0"/>
              <w:rPr>
                <w:sz w:val="12"/>
                <w:szCs w:val="12"/>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380" w:type="dxa"/>
            <w:vAlign w:val="bottom"/>
            <w:vMerge w:val="continue"/>
          </w:tcPr>
          <w:p>
            <w:pPr>
              <w:spacing w:after="0"/>
              <w:rPr>
                <w:sz w:val="12"/>
                <w:szCs w:val="12"/>
                <w:color w:val="auto"/>
              </w:rPr>
            </w:pPr>
          </w:p>
        </w:tc>
        <w:tc>
          <w:tcPr>
            <w:tcW w:w="6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60" w:type="dxa"/>
            <w:vAlign w:val="bottom"/>
            <w:tcBorders>
              <w:top w:val="single" w:sz="8" w:color="2C2C2C"/>
              <w:bottom w:val="single" w:sz="8" w:color="2C2C2C"/>
            </w:tcBorders>
          </w:tcPr>
          <w:p>
            <w:pPr>
              <w:spacing w:after="0"/>
              <w:rPr>
                <w:sz w:val="6"/>
                <w:szCs w:val="6"/>
                <w:color w:val="auto"/>
              </w:rPr>
            </w:pPr>
          </w:p>
        </w:tc>
        <w:tc>
          <w:tcPr>
            <w:tcW w:w="280" w:type="dxa"/>
            <w:vAlign w:val="bottom"/>
            <w:tcBorders>
              <w:top w:val="single" w:sz="8" w:color="2C2C2C"/>
              <w:bottom w:val="single" w:sz="8" w:color="2C2C2C"/>
            </w:tcBorders>
          </w:tcPr>
          <w:p>
            <w:pPr>
              <w:spacing w:after="0"/>
              <w:rPr>
                <w:sz w:val="6"/>
                <w:szCs w:val="6"/>
                <w:color w:val="auto"/>
              </w:rPr>
            </w:pPr>
          </w:p>
        </w:tc>
        <w:tc>
          <w:tcPr>
            <w:tcW w:w="60" w:type="dxa"/>
            <w:vAlign w:val="bottom"/>
            <w:tcBorders>
              <w:top w:val="single" w:sz="8" w:color="2C2C2C"/>
              <w:bottom w:val="single" w:sz="8" w:color="2C2C2C"/>
            </w:tcBorders>
          </w:tcPr>
          <w:p>
            <w:pPr>
              <w:spacing w:after="0"/>
              <w:rPr>
                <w:sz w:val="6"/>
                <w:szCs w:val="6"/>
                <w:color w:val="auto"/>
              </w:rPr>
            </w:pPr>
          </w:p>
        </w:tc>
        <w:tc>
          <w:tcPr>
            <w:tcW w:w="100" w:type="dxa"/>
            <w:vAlign w:val="bottom"/>
            <w:tcBorders>
              <w:top w:val="single" w:sz="8" w:color="2C2C2C"/>
              <w:bottom w:val="single" w:sz="8" w:color="2C2C2C"/>
            </w:tcBorders>
          </w:tcPr>
          <w:p>
            <w:pPr>
              <w:spacing w:after="0"/>
              <w:rPr>
                <w:sz w:val="6"/>
                <w:szCs w:val="6"/>
                <w:color w:val="auto"/>
              </w:rPr>
            </w:pPr>
          </w:p>
        </w:tc>
        <w:tc>
          <w:tcPr>
            <w:tcW w:w="20" w:type="dxa"/>
            <w:vAlign w:val="bottom"/>
            <w:tcBorders>
              <w:top w:val="single" w:sz="8" w:color="2C2C2C"/>
              <w:bottom w:val="single" w:sz="8" w:color="2C2C2C"/>
            </w:tcBorders>
          </w:tcPr>
          <w:p>
            <w:pPr>
              <w:spacing w:after="0"/>
              <w:rPr>
                <w:sz w:val="6"/>
                <w:szCs w:val="6"/>
                <w:color w:val="auto"/>
              </w:rPr>
            </w:pPr>
          </w:p>
        </w:tc>
        <w:tc>
          <w:tcPr>
            <w:tcW w:w="200" w:type="dxa"/>
            <w:vAlign w:val="bottom"/>
            <w:tcBorders>
              <w:top w:val="single" w:sz="8" w:color="2C2C2C"/>
              <w:bottom w:val="single" w:sz="8" w:color="2C2C2C"/>
            </w:tcBorders>
          </w:tcPr>
          <w:p>
            <w:pPr>
              <w:spacing w:after="0"/>
              <w:rPr>
                <w:sz w:val="6"/>
                <w:szCs w:val="6"/>
                <w:color w:val="auto"/>
              </w:rPr>
            </w:pPr>
          </w:p>
        </w:tc>
        <w:tc>
          <w:tcPr>
            <w:tcW w:w="440" w:type="dxa"/>
            <w:vAlign w:val="bottom"/>
            <w:tcBorders>
              <w:top w:val="single" w:sz="8" w:color="2C2C2C"/>
              <w:bottom w:val="single" w:sz="8" w:color="2C2C2C"/>
            </w:tcBorders>
          </w:tcPr>
          <w:p>
            <w:pPr>
              <w:spacing w:after="0"/>
              <w:rPr>
                <w:sz w:val="6"/>
                <w:szCs w:val="6"/>
                <w:color w:val="auto"/>
              </w:rPr>
            </w:pPr>
          </w:p>
        </w:tc>
        <w:tc>
          <w:tcPr>
            <w:tcW w:w="300" w:type="dxa"/>
            <w:vAlign w:val="bottom"/>
            <w:tcBorders>
              <w:top w:val="single" w:sz="8" w:color="2C2C2C"/>
              <w:bottom w:val="single" w:sz="8" w:color="2C2C2C"/>
            </w:tcBorders>
          </w:tcPr>
          <w:p>
            <w:pPr>
              <w:spacing w:after="0"/>
              <w:rPr>
                <w:sz w:val="6"/>
                <w:szCs w:val="6"/>
                <w:color w:val="auto"/>
              </w:rPr>
            </w:pPr>
          </w:p>
        </w:tc>
        <w:tc>
          <w:tcPr>
            <w:tcW w:w="800" w:type="dxa"/>
            <w:vAlign w:val="bottom"/>
            <w:tcBorders>
              <w:top w:val="single" w:sz="8" w:color="2C2C2C"/>
              <w:bottom w:val="single" w:sz="8" w:color="2C2C2C"/>
            </w:tcBorders>
          </w:tcPr>
          <w:p>
            <w:pPr>
              <w:spacing w:after="0"/>
              <w:rPr>
                <w:sz w:val="6"/>
                <w:szCs w:val="6"/>
                <w:color w:val="auto"/>
              </w:rPr>
            </w:pPr>
          </w:p>
        </w:tc>
        <w:tc>
          <w:tcPr>
            <w:tcW w:w="740" w:type="dxa"/>
            <w:vAlign w:val="bottom"/>
            <w:tcBorders>
              <w:top w:val="single" w:sz="8" w:color="2C2C2C"/>
              <w:bottom w:val="single" w:sz="8" w:color="2C2C2C"/>
            </w:tcBorders>
          </w:tcPr>
          <w:p>
            <w:pPr>
              <w:spacing w:after="0"/>
              <w:rPr>
                <w:sz w:val="6"/>
                <w:szCs w:val="6"/>
                <w:color w:val="auto"/>
              </w:rPr>
            </w:pPr>
          </w:p>
        </w:tc>
        <w:tc>
          <w:tcPr>
            <w:tcW w:w="380" w:type="dxa"/>
            <w:vAlign w:val="bottom"/>
            <w:tcBorders>
              <w:top w:val="single" w:sz="8" w:color="2C2C2C"/>
              <w:bottom w:val="single" w:sz="8" w:color="2C2C2C"/>
            </w:tcBorders>
          </w:tcPr>
          <w:p>
            <w:pPr>
              <w:spacing w:after="0"/>
              <w:rPr>
                <w:sz w:val="6"/>
                <w:szCs w:val="6"/>
                <w:color w:val="auto"/>
              </w:rPr>
            </w:pPr>
          </w:p>
        </w:tc>
        <w:tc>
          <w:tcPr>
            <w:tcW w:w="600" w:type="dxa"/>
            <w:vAlign w:val="bottom"/>
            <w:tcBorders>
              <w:top w:val="single" w:sz="8" w:color="2C2C2C"/>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Borders>
              <w:top w:val="single" w:sz="8" w:color="808080"/>
            </w:tcBorders>
          </w:tcPr>
          <w:p>
            <w:pPr>
              <w:spacing w:after="0"/>
              <w:rPr>
                <w:sz w:val="6"/>
                <w:szCs w:val="6"/>
                <w:color w:val="auto"/>
              </w:rPr>
            </w:pPr>
          </w:p>
        </w:tc>
        <w:tc>
          <w:tcPr>
            <w:tcW w:w="2660" w:type="dxa"/>
            <w:vAlign w:val="bottom"/>
            <w:tcBorders>
              <w:top w:val="single" w:sz="8" w:color="2C2C2C"/>
            </w:tcBorders>
            <w:gridSpan w:val="6"/>
            <w:vMerge w:val="restart"/>
          </w:tcPr>
          <w:p>
            <w:pPr>
              <w:ind w:left="60"/>
              <w:spacing w:after="0" w:line="212"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Borders>
              <w:top w:val="single" w:sz="8" w:color="2C2C2C"/>
            </w:tcBorders>
          </w:tcPr>
          <w:p>
            <w:pPr>
              <w:spacing w:after="0"/>
              <w:rPr>
                <w:sz w:val="6"/>
                <w:szCs w:val="6"/>
                <w:color w:val="auto"/>
              </w:rPr>
            </w:pPr>
          </w:p>
        </w:tc>
        <w:tc>
          <w:tcPr>
            <w:tcW w:w="20" w:type="dxa"/>
            <w:vAlign w:val="bottom"/>
            <w:tcBorders>
              <w:top w:val="single" w:sz="8" w:color="2C2C2C"/>
            </w:tcBorders>
          </w:tcPr>
          <w:p>
            <w:pPr>
              <w:spacing w:after="0"/>
              <w:rPr>
                <w:sz w:val="6"/>
                <w:szCs w:val="6"/>
                <w:color w:val="auto"/>
              </w:rPr>
            </w:pPr>
          </w:p>
        </w:tc>
        <w:tc>
          <w:tcPr>
            <w:tcW w:w="60" w:type="dxa"/>
            <w:vAlign w:val="bottom"/>
            <w:tcBorders>
              <w:top w:val="single" w:sz="8" w:color="2C2C2C"/>
            </w:tcBorders>
          </w:tcPr>
          <w:p>
            <w:pPr>
              <w:spacing w:after="0"/>
              <w:rPr>
                <w:sz w:val="6"/>
                <w:szCs w:val="6"/>
                <w:color w:val="auto"/>
              </w:rPr>
            </w:pPr>
          </w:p>
        </w:tc>
        <w:tc>
          <w:tcPr>
            <w:tcW w:w="600" w:type="dxa"/>
            <w:vAlign w:val="bottom"/>
            <w:tcBorders>
              <w:top w:val="single" w:sz="8" w:color="2C2C2C"/>
            </w:tcBorders>
          </w:tcPr>
          <w:p>
            <w:pPr>
              <w:spacing w:after="0"/>
              <w:rPr>
                <w:sz w:val="6"/>
                <w:szCs w:val="6"/>
                <w:color w:val="auto"/>
              </w:rPr>
            </w:pPr>
          </w:p>
        </w:tc>
        <w:tc>
          <w:tcPr>
            <w:tcW w:w="160" w:type="dxa"/>
            <w:vAlign w:val="bottom"/>
            <w:tcBorders>
              <w:top w:val="single" w:sz="8" w:color="2C2C2C"/>
            </w:tcBorders>
          </w:tcPr>
          <w:p>
            <w:pPr>
              <w:spacing w:after="0"/>
              <w:rPr>
                <w:sz w:val="6"/>
                <w:szCs w:val="6"/>
                <w:color w:val="auto"/>
              </w:rPr>
            </w:pPr>
          </w:p>
        </w:tc>
        <w:tc>
          <w:tcPr>
            <w:tcW w:w="280" w:type="dxa"/>
            <w:vAlign w:val="bottom"/>
            <w:tcBorders>
              <w:top w:val="single" w:sz="8" w:color="2C2C2C"/>
            </w:tcBorders>
          </w:tcPr>
          <w:p>
            <w:pPr>
              <w:spacing w:after="0"/>
              <w:rPr>
                <w:sz w:val="6"/>
                <w:szCs w:val="6"/>
                <w:color w:val="auto"/>
              </w:rPr>
            </w:pPr>
          </w:p>
        </w:tc>
        <w:tc>
          <w:tcPr>
            <w:tcW w:w="60" w:type="dxa"/>
            <w:vAlign w:val="bottom"/>
            <w:tcBorders>
              <w:top w:val="single" w:sz="8" w:color="2C2C2C"/>
            </w:tcBorders>
          </w:tcPr>
          <w:p>
            <w:pPr>
              <w:spacing w:after="0"/>
              <w:rPr>
                <w:sz w:val="6"/>
                <w:szCs w:val="6"/>
                <w:color w:val="auto"/>
              </w:rPr>
            </w:pPr>
          </w:p>
        </w:tc>
        <w:tc>
          <w:tcPr>
            <w:tcW w:w="100" w:type="dxa"/>
            <w:vAlign w:val="bottom"/>
            <w:tcBorders>
              <w:top w:val="single" w:sz="8" w:color="2C2C2C"/>
            </w:tcBorders>
          </w:tcPr>
          <w:p>
            <w:pPr>
              <w:spacing w:after="0"/>
              <w:rPr>
                <w:sz w:val="6"/>
                <w:szCs w:val="6"/>
                <w:color w:val="auto"/>
              </w:rPr>
            </w:pPr>
          </w:p>
        </w:tc>
        <w:tc>
          <w:tcPr>
            <w:tcW w:w="20" w:type="dxa"/>
            <w:vAlign w:val="bottom"/>
            <w:tcBorders>
              <w:top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gridSpan w:val="2"/>
          </w:tcPr>
          <w:p>
            <w:pPr>
              <w:ind w:left="80"/>
              <w:spacing w:after="0" w:line="79" w:lineRule="exact"/>
              <w:rPr>
                <w:sz w:val="20"/>
                <w:szCs w:val="20"/>
                <w:color w:val="auto"/>
              </w:rPr>
            </w:pPr>
            <w:r>
              <w:rPr>
                <w:rFonts w:ascii="Arial" w:cs="Arial" w:eastAsia="Arial" w:hAnsi="Arial"/>
                <w:sz w:val="8"/>
                <w:szCs w:val="8"/>
                <w:b w:val="1"/>
                <w:bCs w:val="1"/>
                <w:color w:val="auto"/>
              </w:rPr>
              <w:t>Amount</w:t>
            </w: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60" w:type="dxa"/>
            <w:vAlign w:val="bottom"/>
            <w:gridSpan w:val="6"/>
            <w:vMerge w:val="continue"/>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60" w:type="dxa"/>
            <w:vAlign w:val="bottom"/>
            <w:gridSpan w:val="9"/>
            <w:vMerge w:val="restart"/>
          </w:tcPr>
          <w:p>
            <w:pPr>
              <w:spacing w:after="0" w:line="234"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Lightspeed Venture Partners X, L.P.</w:t>
              </w:r>
            </w:hyperlink>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60" w:type="dxa"/>
            <w:vAlign w:val="bottom"/>
            <w:gridSpan w:val="9"/>
            <w:vMerge w:val="continue"/>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Expiration</w:t>
            </w:r>
          </w:p>
        </w:tc>
        <w:tc>
          <w:tcPr>
            <w:tcW w:w="380" w:type="dxa"/>
            <w:vAlign w:val="bottom"/>
          </w:tcPr>
          <w:p>
            <w:pPr>
              <w:spacing w:after="0"/>
              <w:rPr>
                <w:sz w:val="10"/>
                <w:szCs w:val="10"/>
                <w:color w:val="auto"/>
              </w:rPr>
            </w:pPr>
          </w:p>
        </w:tc>
        <w:tc>
          <w:tcPr>
            <w:tcW w:w="680" w:type="dxa"/>
            <w:vAlign w:val="bottom"/>
            <w:gridSpan w:val="2"/>
          </w:tcPr>
          <w:p>
            <w:pPr>
              <w:ind w:left="80"/>
              <w:spacing w:after="0" w:line="101" w:lineRule="exact"/>
              <w:rPr>
                <w:sz w:val="20"/>
                <w:szCs w:val="20"/>
                <w:color w:val="auto"/>
              </w:rPr>
            </w:pPr>
            <w:r>
              <w:rPr>
                <w:rFonts w:ascii="Arial" w:cs="Arial" w:eastAsia="Arial" w:hAnsi="Arial"/>
                <w:sz w:val="11"/>
                <w:szCs w:val="11"/>
                <w:b w:val="1"/>
                <w:bCs w:val="1"/>
                <w:color w:val="auto"/>
              </w:rPr>
              <w:t>of</w:t>
            </w: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620" w:type="dxa"/>
            <w:vAlign w:val="bottom"/>
            <w:tcBorders>
              <w:top w:val="single" w:sz="8" w:color="0000EE"/>
              <w:bottom w:val="single" w:sz="8" w:color="808080"/>
            </w:tcBorders>
          </w:tcPr>
          <w:p>
            <w:pPr>
              <w:spacing w:after="0"/>
              <w:rPr>
                <w:sz w:val="17"/>
                <w:szCs w:val="17"/>
                <w:color w:val="auto"/>
              </w:rPr>
            </w:pPr>
          </w:p>
        </w:tc>
        <w:tc>
          <w:tcPr>
            <w:tcW w:w="760" w:type="dxa"/>
            <w:vAlign w:val="bottom"/>
            <w:tcBorders>
              <w:top w:val="single" w:sz="8" w:color="0000EE"/>
              <w:bottom w:val="single" w:sz="8" w:color="808080"/>
            </w:tcBorders>
          </w:tcPr>
          <w:p>
            <w:pPr>
              <w:spacing w:after="0"/>
              <w:rPr>
                <w:sz w:val="17"/>
                <w:szCs w:val="17"/>
                <w:color w:val="auto"/>
              </w:rPr>
            </w:pPr>
          </w:p>
        </w:tc>
        <w:tc>
          <w:tcPr>
            <w:tcW w:w="920" w:type="dxa"/>
            <w:vAlign w:val="bottom"/>
            <w:tcBorders>
              <w:top w:val="single" w:sz="8" w:color="0000EE"/>
              <w:bottom w:val="single" w:sz="8" w:color="808080"/>
            </w:tcBorders>
          </w:tcPr>
          <w:p>
            <w:pPr>
              <w:spacing w:after="0"/>
              <w:rPr>
                <w:sz w:val="17"/>
                <w:szCs w:val="17"/>
                <w:color w:val="auto"/>
              </w:rPr>
            </w:pPr>
          </w:p>
        </w:tc>
        <w:tc>
          <w:tcPr>
            <w:tcW w:w="160" w:type="dxa"/>
            <w:vAlign w:val="bottom"/>
            <w:tcBorders>
              <w:top w:val="single" w:sz="8" w:color="0000EE"/>
              <w:bottom w:val="single" w:sz="8" w:color="808080"/>
            </w:tcBorders>
          </w:tcPr>
          <w:p>
            <w:pPr>
              <w:spacing w:after="0"/>
              <w:rPr>
                <w:sz w:val="17"/>
                <w:szCs w:val="17"/>
                <w:color w:val="auto"/>
              </w:rPr>
            </w:pPr>
          </w:p>
        </w:tc>
        <w:tc>
          <w:tcPr>
            <w:tcW w:w="100" w:type="dxa"/>
            <w:vAlign w:val="bottom"/>
            <w:tcBorders>
              <w:top w:val="single" w:sz="8" w:color="0000EE"/>
              <w:bottom w:val="single" w:sz="8" w:color="808080"/>
            </w:tcBorders>
          </w:tcPr>
          <w:p>
            <w:pPr>
              <w:spacing w:after="0"/>
              <w:rPr>
                <w:sz w:val="17"/>
                <w:szCs w:val="17"/>
                <w:color w:val="auto"/>
              </w:rPr>
            </w:pPr>
          </w:p>
        </w:tc>
        <w:tc>
          <w:tcPr>
            <w:tcW w:w="420" w:type="dxa"/>
            <w:vAlign w:val="bottom"/>
            <w:tcBorders>
              <w:top w:val="single" w:sz="8" w:color="0000EE"/>
              <w:bottom w:val="single" w:sz="8" w:color="808080"/>
            </w:tcBorders>
          </w:tcPr>
          <w:p>
            <w:pPr>
              <w:spacing w:after="0"/>
              <w:rPr>
                <w:sz w:val="17"/>
                <w:szCs w:val="17"/>
                <w:color w:val="auto"/>
              </w:rPr>
            </w:pPr>
          </w:p>
        </w:tc>
        <w:tc>
          <w:tcPr>
            <w:tcW w:w="20" w:type="dxa"/>
            <w:vAlign w:val="bottom"/>
            <w:tcBorders>
              <w:top w:val="single" w:sz="8" w:color="0000EE"/>
              <w:bottom w:val="single" w:sz="8" w:color="808080"/>
            </w:tcBorders>
          </w:tcPr>
          <w:p>
            <w:pPr>
              <w:spacing w:after="0"/>
              <w:rPr>
                <w:sz w:val="17"/>
                <w:szCs w:val="17"/>
                <w:color w:val="auto"/>
              </w:rPr>
            </w:pPr>
          </w:p>
        </w:tc>
        <w:tc>
          <w:tcPr>
            <w:tcW w:w="60" w:type="dxa"/>
            <w:vAlign w:val="bottom"/>
            <w:tcBorders>
              <w:top w:val="single" w:sz="8" w:color="0000EE"/>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tcBorders>
              <w:bottom w:val="single" w:sz="8" w:color="808080"/>
            </w:tcBorders>
            <w:gridSpan w:val="4"/>
          </w:tcPr>
          <w:p>
            <w:pPr>
              <w:ind w:left="60"/>
              <w:spacing w:after="0"/>
              <w:rPr>
                <w:sz w:val="20"/>
                <w:szCs w:val="20"/>
                <w:color w:val="auto"/>
              </w:rPr>
            </w:pPr>
            <w:r>
              <w:rPr>
                <w:rFonts w:ascii="Arial" w:cs="Arial" w:eastAsia="Arial" w:hAnsi="Arial"/>
                <w:sz w:val="12"/>
                <w:szCs w:val="12"/>
                <w:b w:val="1"/>
                <w:bCs w:val="1"/>
                <w:color w:val="auto"/>
              </w:rPr>
              <w:t>V</w:t>
            </w:r>
          </w:p>
        </w:tc>
        <w:tc>
          <w:tcPr>
            <w:tcW w:w="4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Borders>
              <w:bottom w:val="single" w:sz="8" w:color="808080"/>
            </w:tcBorders>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3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Borders>
              <w:bottom w:val="single" w:sz="8" w:color="808080"/>
            </w:tcBorders>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4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Lightspeed Affiliates X, L.P.</w:t>
              </w:r>
            </w:hyperlink>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9"/>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Lightspeed General Partner X, L.P.</w:t>
              </w:r>
            </w:hyperlink>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gridSpan w:val="11"/>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Lightspeed Ultimate General Partner X, Ltd.</w:t>
              </w:r>
            </w:hyperlink>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9"/>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Lightspeed Opportunity Fund, L.P.</w:t>
              </w:r>
            </w:hyperlink>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80"/>
          </w:cols>
          <w:pgMar w:left="460" w:top="175" w:right="359" w:bottom="0" w:gutter="0" w:footer="0" w:header="0"/>
        </w:sect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175" w:right="359" w:bottom="0" w:gutter="0" w:footer="0" w:header="0"/>
          <w:type w:val="continuous"/>
        </w:sectPr>
      </w:pPr>
    </w:p>
    <w:bookmarkStart w:id="2" w:name="page3"/>
    <w:bookmarkEnd w:id="2"/>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-140970</wp:posOffset>
            </wp:positionV>
            <wp:extent cx="2809240" cy="95148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2809240" cy="9514840"/>
                    </a:xfrm>
                    <a:prstGeom prst="rect">
                      <a:avLst/>
                    </a:prstGeom>
                    <a:noFill/>
                  </pic:spPr>
                </pic:pic>
              </a:graphicData>
            </a:graphic>
          </wp:anchor>
        </w:drawing>
      </w:r>
    </w:p>
    <w:p>
      <w:pPr>
        <w:ind w:left="80"/>
        <w:spacing w:after="0" w:line="238" w:lineRule="auto"/>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Lightspeed General Partner Opportunity Fund,</w:t>
        </w:r>
      </w:hyperlink>
    </w:p>
    <w:p>
      <w:pPr>
        <w:ind w:left="8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L.P.</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140"/>
              <w:spacing w:after="0"/>
              <w:rPr>
                <w:sz w:val="20"/>
                <w:szCs w:val="20"/>
                <w:color w:val="auto"/>
              </w:rPr>
            </w:pPr>
            <w:r>
              <w:rPr>
                <w:rFonts w:ascii="Arial" w:cs="Arial" w:eastAsia="Arial" w:hAnsi="Arial"/>
                <w:sz w:val="13"/>
                <w:szCs w:val="13"/>
                <w:color w:val="auto"/>
              </w:rPr>
              <w:t>(First)</w:t>
            </w:r>
          </w:p>
        </w:tc>
        <w:tc>
          <w:tcPr>
            <w:tcW w:w="1840" w:type="dxa"/>
            <w:vAlign w:val="bottom"/>
          </w:tcPr>
          <w:p>
            <w:pPr>
              <w:ind w:left="4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r>
      <w:tr>
        <w:trPr>
          <w:trHeight w:val="267"/>
        </w:trPr>
        <w:tc>
          <w:tcPr>
            <w:tcW w:w="4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8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140"/>
              <w:spacing w:after="0"/>
              <w:rPr>
                <w:sz w:val="20"/>
                <w:szCs w:val="20"/>
                <w:color w:val="auto"/>
              </w:rPr>
            </w:pPr>
            <w:r>
              <w:rPr>
                <w:rFonts w:ascii="Arial" w:cs="Arial" w:eastAsia="Arial" w:hAnsi="Arial"/>
                <w:sz w:val="13"/>
                <w:szCs w:val="13"/>
                <w:color w:val="auto"/>
              </w:rPr>
              <w:t>(State)</w:t>
            </w:r>
          </w:p>
        </w:tc>
        <w:tc>
          <w:tcPr>
            <w:tcW w:w="1840" w:type="dxa"/>
            <w:vAlign w:val="bottom"/>
          </w:tcPr>
          <w:p>
            <w:pPr>
              <w:ind w:left="4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line="238" w:lineRule="auto"/>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Lightspeed Ultimate General Partner</w:t>
        </w:r>
      </w:hyperlink>
    </w:p>
    <w:p>
      <w:pPr>
        <w:ind w:left="8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Opportunity Fund, Ltd.</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140"/>
              <w:spacing w:after="0"/>
              <w:rPr>
                <w:sz w:val="20"/>
                <w:szCs w:val="20"/>
                <w:color w:val="auto"/>
              </w:rPr>
            </w:pPr>
            <w:r>
              <w:rPr>
                <w:rFonts w:ascii="Arial" w:cs="Arial" w:eastAsia="Arial" w:hAnsi="Arial"/>
                <w:sz w:val="13"/>
                <w:szCs w:val="13"/>
                <w:color w:val="auto"/>
              </w:rPr>
              <w:t>(First)</w:t>
            </w:r>
          </w:p>
        </w:tc>
        <w:tc>
          <w:tcPr>
            <w:tcW w:w="1840" w:type="dxa"/>
            <w:vAlign w:val="bottom"/>
          </w:tcPr>
          <w:p>
            <w:pPr>
              <w:ind w:left="4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r>
      <w:tr>
        <w:trPr>
          <w:trHeight w:val="267"/>
        </w:trPr>
        <w:tc>
          <w:tcPr>
            <w:tcW w:w="4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8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140"/>
              <w:spacing w:after="0"/>
              <w:rPr>
                <w:sz w:val="20"/>
                <w:szCs w:val="20"/>
                <w:color w:val="auto"/>
              </w:rPr>
            </w:pPr>
            <w:r>
              <w:rPr>
                <w:rFonts w:ascii="Arial" w:cs="Arial" w:eastAsia="Arial" w:hAnsi="Arial"/>
                <w:sz w:val="13"/>
                <w:szCs w:val="13"/>
                <w:color w:val="auto"/>
              </w:rPr>
              <w:t>(State)</w:t>
            </w:r>
          </w:p>
        </w:tc>
        <w:tc>
          <w:tcPr>
            <w:tcW w:w="1840" w:type="dxa"/>
            <w:vAlign w:val="bottom"/>
          </w:tcPr>
          <w:p>
            <w:pPr>
              <w:ind w:left="4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Lightspeed Strategic Partners I L.P.</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140"/>
              <w:spacing w:after="0"/>
              <w:rPr>
                <w:sz w:val="20"/>
                <w:szCs w:val="20"/>
                <w:color w:val="auto"/>
              </w:rPr>
            </w:pPr>
            <w:r>
              <w:rPr>
                <w:rFonts w:ascii="Arial" w:cs="Arial" w:eastAsia="Arial" w:hAnsi="Arial"/>
                <w:sz w:val="13"/>
                <w:szCs w:val="13"/>
                <w:color w:val="auto"/>
              </w:rPr>
              <w:t>(First)</w:t>
            </w:r>
          </w:p>
        </w:tc>
        <w:tc>
          <w:tcPr>
            <w:tcW w:w="1840" w:type="dxa"/>
            <w:vAlign w:val="bottom"/>
          </w:tcPr>
          <w:p>
            <w:pPr>
              <w:ind w:left="4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r>
      <w:tr>
        <w:trPr>
          <w:trHeight w:val="267"/>
        </w:trPr>
        <w:tc>
          <w:tcPr>
            <w:tcW w:w="4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8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140"/>
              <w:spacing w:after="0"/>
              <w:rPr>
                <w:sz w:val="20"/>
                <w:szCs w:val="20"/>
                <w:color w:val="auto"/>
              </w:rPr>
            </w:pPr>
            <w:r>
              <w:rPr>
                <w:rFonts w:ascii="Arial" w:cs="Arial" w:eastAsia="Arial" w:hAnsi="Arial"/>
                <w:sz w:val="13"/>
                <w:szCs w:val="13"/>
                <w:color w:val="auto"/>
              </w:rPr>
              <w:t>(State)</w:t>
            </w:r>
          </w:p>
        </w:tc>
        <w:tc>
          <w:tcPr>
            <w:tcW w:w="1840" w:type="dxa"/>
            <w:vAlign w:val="bottom"/>
          </w:tcPr>
          <w:p>
            <w:pPr>
              <w:ind w:left="4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line="238" w:lineRule="auto"/>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Lightspeed Strategic Partners General Partner I</w:t>
        </w:r>
      </w:hyperlink>
    </w:p>
    <w:p>
      <w:pPr>
        <w:ind w:left="8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L.P.</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140"/>
              <w:spacing w:after="0"/>
              <w:rPr>
                <w:sz w:val="20"/>
                <w:szCs w:val="20"/>
                <w:color w:val="auto"/>
              </w:rPr>
            </w:pPr>
            <w:r>
              <w:rPr>
                <w:rFonts w:ascii="Arial" w:cs="Arial" w:eastAsia="Arial" w:hAnsi="Arial"/>
                <w:sz w:val="13"/>
                <w:szCs w:val="13"/>
                <w:color w:val="auto"/>
              </w:rPr>
              <w:t>(First)</w:t>
            </w:r>
          </w:p>
        </w:tc>
        <w:tc>
          <w:tcPr>
            <w:tcW w:w="1840" w:type="dxa"/>
            <w:vAlign w:val="bottom"/>
          </w:tcPr>
          <w:p>
            <w:pPr>
              <w:ind w:left="4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r>
      <w:tr>
        <w:trPr>
          <w:trHeight w:val="267"/>
        </w:trPr>
        <w:tc>
          <w:tcPr>
            <w:tcW w:w="4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8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140"/>
              <w:spacing w:after="0"/>
              <w:rPr>
                <w:sz w:val="20"/>
                <w:szCs w:val="20"/>
                <w:color w:val="auto"/>
              </w:rPr>
            </w:pPr>
            <w:r>
              <w:rPr>
                <w:rFonts w:ascii="Arial" w:cs="Arial" w:eastAsia="Arial" w:hAnsi="Arial"/>
                <w:sz w:val="13"/>
                <w:szCs w:val="13"/>
                <w:color w:val="auto"/>
              </w:rPr>
              <w:t>(State)</w:t>
            </w:r>
          </w:p>
        </w:tc>
        <w:tc>
          <w:tcPr>
            <w:tcW w:w="1840" w:type="dxa"/>
            <w:vAlign w:val="bottom"/>
          </w:tcPr>
          <w:p>
            <w:pPr>
              <w:ind w:left="4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line="238" w:lineRule="auto"/>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Lightspeed Strategic Partners Ultimate General</w:t>
        </w:r>
      </w:hyperlink>
    </w:p>
    <w:p>
      <w:pPr>
        <w:ind w:left="80"/>
        <w:spacing w:after="0"/>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Partner I L.L.C.</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140"/>
              <w:spacing w:after="0"/>
              <w:rPr>
                <w:sz w:val="20"/>
                <w:szCs w:val="20"/>
                <w:color w:val="auto"/>
              </w:rPr>
            </w:pPr>
            <w:r>
              <w:rPr>
                <w:rFonts w:ascii="Arial" w:cs="Arial" w:eastAsia="Arial" w:hAnsi="Arial"/>
                <w:sz w:val="13"/>
                <w:szCs w:val="13"/>
                <w:color w:val="auto"/>
              </w:rPr>
              <w:t>(First)</w:t>
            </w:r>
          </w:p>
        </w:tc>
        <w:tc>
          <w:tcPr>
            <w:tcW w:w="1840" w:type="dxa"/>
            <w:vAlign w:val="bottom"/>
          </w:tcPr>
          <w:p>
            <w:pPr>
              <w:ind w:left="4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r>
      <w:tr>
        <w:trPr>
          <w:trHeight w:val="267"/>
        </w:trPr>
        <w:tc>
          <w:tcPr>
            <w:tcW w:w="4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8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140"/>
              <w:spacing w:after="0"/>
              <w:rPr>
                <w:sz w:val="20"/>
                <w:szCs w:val="20"/>
                <w:color w:val="auto"/>
              </w:rPr>
            </w:pPr>
            <w:r>
              <w:rPr>
                <w:rFonts w:ascii="Arial" w:cs="Arial" w:eastAsia="Arial" w:hAnsi="Arial"/>
                <w:sz w:val="13"/>
                <w:szCs w:val="13"/>
                <w:color w:val="auto"/>
              </w:rPr>
              <w:t>(State)</w:t>
            </w:r>
          </w:p>
        </w:tc>
        <w:tc>
          <w:tcPr>
            <w:tcW w:w="1840" w:type="dxa"/>
            <w:vAlign w:val="bottom"/>
          </w:tcPr>
          <w:p>
            <w:pPr>
              <w:ind w:left="4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$24.58 to $24.71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right="4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held by Lightspeed Management Company, L.L.C. ("LMC") prior to the reported transaction were received pursuant to distributions in kind, for no additional consideration, by Lightspeed Venture Partners X, L.P. ("Lightspeed X") and Lightspeed Venture Partners Select II, L.P. ("Lightspeed Select II"), as described in a Form 4 filed by the Reporting Persons on June 15, 2026. Such shares were inadvertently omitted from the June 15, 2026 Form 4 as a result of a clerical error.</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LMC.</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X. Lightspeed General Partner X, L.P. ("LGP X") is the general partner of Lightspeed X. Lightspeed Ultimate General Partner X, Ltd. ("LUGP X") is the general partner</w:t>
      </w:r>
    </w:p>
    <w:p>
      <w:pPr>
        <w:sectPr>
          <w:pgSz w:w="11900" w:h="16867" w:orient="portrait"/>
          <w:cols w:equalWidth="0" w:num="1">
            <w:col w:w="10780"/>
          </w:cols>
          <w:pgMar w:left="500" w:top="110" w:right="619"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color w:val="008000"/>
        </w:rPr>
        <w:t>of LGP X. Each of LGP X and LUGP X disclaims beneficial ownership of these shares except to the extent of its respective pecuniary interest therein.</w:t>
      </w:r>
    </w:p>
    <w:p>
      <w:pPr>
        <w:spacing w:after="0" w:line="50" w:lineRule="exact"/>
        <w:rPr>
          <w:sz w:val="20"/>
          <w:szCs w:val="20"/>
          <w:color w:val="auto"/>
        </w:rPr>
      </w:pPr>
    </w:p>
    <w:p>
      <w:pPr>
        <w:ind w:right="48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Affiliates X, L.P. ("Affiliates X"). LGP X is the general partner of Affiliates X. LUGP X is the general partner of LGP X. Each of LGP X and LUGP X disclaims beneficial ownership of these shares except to the extent of its respective pecuniary interest therein.</w:t>
      </w:r>
    </w:p>
    <w:p>
      <w:pPr>
        <w:spacing w:after="0" w:line="7" w:lineRule="exact"/>
        <w:rPr>
          <w:rFonts w:ascii="Times New Roman" w:cs="Times New Roman" w:eastAsia="Times New Roman" w:hAnsi="Times New Roman"/>
          <w:sz w:val="13"/>
          <w:szCs w:val="13"/>
          <w:color w:val="008000"/>
        </w:rPr>
      </w:pPr>
    </w:p>
    <w:p>
      <w:pPr>
        <w:ind w:right="1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Opportunity Fund, L.P. ("Opportunity"). Lightspeed General Partner Opportunity Fund, L.P. ("LGP Opportunity") is the general partner of Opportunity. Lightspeed Ultimate General Partner Opportunity Fund, Ltd. ("LUGP Opportunity") is the general partner of LGP Opportunity. Each of LGP Opportunity and LUGP Opportunity disclaims beneficial ownership of these shares except to the extent of its respective pecuniary interest therein.</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Strategic Partners I L.P. ("Strategic"). Lightspeed Strategic Partners General Partner I L.P. ("LGP Strategic") is the general partner of Strategic. Lightspeed Strategic Partners Ultimate General Partner I L.L.C. ("LUGP Strategic") is the general partner of LGP Strategic. Each of LGP Strategic and LUGP Strategic disclaims beneficial ownership of these shares except to the extent of its respective pecuniary interest therein.</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Select II. Lightspeed General Partner Select II, L.P. ("LGP Select II") is the general partner of Lightspeed Select II. Lightspeed Ultimate General Partner Select II, Ltd. ("LUGP Select II") is the general partner of LGP Select II. Each of LGP Select II and LUGP Select II disclaims beneficial ownership of these shares except to the extent of its respective pecuniary interest therein.</w:t>
      </w:r>
    </w:p>
    <w:p>
      <w:pPr>
        <w:spacing w:after="0" w:line="20" w:lineRule="exact"/>
        <w:rPr>
          <w:rFonts w:ascii="Times New Roman" w:cs="Times New Roman" w:eastAsia="Times New Roman" w:hAnsi="Times New Roman"/>
          <w:sz w:val="13"/>
          <w:szCs w:val="13"/>
          <w:color w:val="008000"/>
        </w:rPr>
      </w:pPr>
    </w:p>
    <w:p>
      <w:pPr>
        <w:ind w:right="2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Venture Partners Select III, L.P. ("Lightspeed Select III"). Lightspeed General Partner Select III, L.P. ("LGP Select III") is the general partner of Lightspeed Select III. Lightspeed Ultimate General Partner Select III, Ltd. ("LUGP Select III") is the general partner of LGP Select III. Each of LGP Select III and LUGP Select III disclaims beneficial ownership of these shares except to the extent of its respective pecuniary interest therein.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3"/>
          <w:szCs w:val="13"/>
          <w:color w:val="008000"/>
        </w:rPr>
        <w:t>This Form 4 is the first of two Forms 4 filed relating to the same events. Combined, the two Form 4s report the holdings for the following Reporting Persons: Lightspeed Venture Partners X, L.P., Lightspeed Affiliates X, L.P., Lightspeed General Partner X, L.P., Lightspeed Ultimate General Partner X, Ltd., Lightspeed Opportunity Fund, L.P., Lightspeed General Partner Opportunity Fund, L.P., Lightspeed Ultimate General Partner Opportunity Fund, Ltd., Lightspeed Strategic Partners I L.P., Lightspeed Strategic Partners General Partner I L.P., Lightspeed Strategic Partners Ultimate General Partner I L.L.C., Lightspeed Venture Partners Select II, L.P., Lightspeed General Partner Select II, L.P., Lightspeed Ultimate General Partner Select II, Ltd., Lightspeed Venture Partners Select III, L.P., Lightspeed General Partner Select III, L.P., Lightspeed Ultimate General Partner Select III, Ltd. and Lightspeed Management Company, L.L.C. This Form 4 has been split into two filings because there are more than 10 reporting persons in total, and the SEC's EDGAR filing system limits a single Form 4 to a maximum of 10 reporting persons.</w:t>
      </w:r>
    </w:p>
    <w:p>
      <w:pPr>
        <w:sectPr>
          <w:pgSz w:w="11900" w:h="16838" w:orient="portrait"/>
          <w:cols w:equalWidth="0" w:num="1">
            <w:col w:w="10860"/>
          </w:cols>
          <w:pgMar w:left="500" w:top="127" w:right="539" w:bottom="0" w:gutter="0" w:footer="0" w:header="0"/>
        </w:sectPr>
      </w:pPr>
    </w:p>
    <w:p>
      <w:pPr>
        <w:spacing w:after="0" w:line="5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6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X, L.P., By: Lightspeed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356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0356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X,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55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29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9029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63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X, Ltd.,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Ravi Mhatre,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57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Affiliates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0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Lightspeed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09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X,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55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Lightspeed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33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Ultimate General Partner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1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Ltd.,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88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Ravi 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55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General Partner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36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Lightspeed Ultimate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38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X,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Ravi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88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391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63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Partner X, Ltd., By /s/ Ravi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96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391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Opportunity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47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Lightspeed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69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Opportunity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39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04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63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Opportunity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39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Ltd.,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88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Ravi 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55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96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Opportunity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63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Opportunity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39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Ltd.,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88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Ravi 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55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63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Partner Opportunity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39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Ltd., By /s/ Ravi Mhatre,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29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Strategic Partners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95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Lightspeed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95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General Partner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55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04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Lightspeed Strategic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54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Ultimate General Partner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96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87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Ravi Mhatre,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Strategic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54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General Partner 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96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Lightspeed Strategic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54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Ultimate General Partner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96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87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Ravi Mhatre,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Strategic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54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Ultimate General Partner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96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00" w:space="40"/>
            <w:col w:w="2120"/>
          </w:cols>
          <w:pgMar w:left="500" w:top="127" w:right="539" w:bottom="0" w:gutter="0" w:footer="0" w:header="0"/>
          <w:type w:val="continuous"/>
        </w:sectPr>
      </w:pPr>
    </w:p>
    <w:bookmarkStart w:id="4" w:name="page5"/>
    <w:bookmarkEnd w:id="4"/>
    <w:p>
      <w:pPr>
        <w:ind w:left="6540"/>
        <w:spacing w:after="0"/>
        <w:rPr>
          <w:sz w:val="20"/>
          <w:szCs w:val="20"/>
          <w:color w:val="auto"/>
        </w:rPr>
      </w:pPr>
      <w:r>
        <w:rPr>
          <w:rFonts w:ascii="Times New Roman" w:cs="Times New Roman" w:eastAsia="Times New Roman" w:hAnsi="Times New Roman"/>
          <w:sz w:val="17"/>
          <w:szCs w:val="17"/>
          <w:color w:val="0000FF"/>
        </w:rPr>
        <w:t>L.L.C., By /s/ Ravi Mhatre,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128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905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13" Type="http://schemas.openxmlformats.org/officeDocument/2006/relationships/hyperlink" Target="http://www.sec.gov/cgi-bin/browse-edgar?action=getcompany&amp;CIK=0001602573" TargetMode="External"/><Relationship Id="rId14" Type="http://schemas.openxmlformats.org/officeDocument/2006/relationships/hyperlink" Target="http://www.sec.gov/cgi-bin/browse-edgar?action=getcompany&amp;CIK=0001639723" TargetMode="External"/><Relationship Id="rId15" Type="http://schemas.openxmlformats.org/officeDocument/2006/relationships/hyperlink" Target="http://www.sec.gov/cgi-bin/browse-edgar?action=getcompany&amp;CIK=0001617751" TargetMode="External"/><Relationship Id="rId16" Type="http://schemas.openxmlformats.org/officeDocument/2006/relationships/hyperlink" Target="http://www.sec.gov/cgi-bin/browse-edgar?action=getcompany&amp;CIK=0001700550" TargetMode="External"/><Relationship Id="rId17" Type="http://schemas.openxmlformats.org/officeDocument/2006/relationships/hyperlink" Target="http://www.sec.gov/cgi-bin/browse-edgar?action=getcompany&amp;CIK=0001700549" TargetMode="External"/><Relationship Id="rId18" Type="http://schemas.openxmlformats.org/officeDocument/2006/relationships/hyperlink" Target="http://www.sec.gov/cgi-bin/browse-edgar?action=getcompany&amp;CIK=0001780948" TargetMode="External"/><Relationship Id="rId21" Type="http://schemas.openxmlformats.org/officeDocument/2006/relationships/hyperlink" Target="http://www.sec.gov/cgi-bin/browse-edgar?action=getcompany&amp;CIK=0001980478" TargetMode="External"/><Relationship Id="rId22" Type="http://schemas.openxmlformats.org/officeDocument/2006/relationships/hyperlink" Target="http://www.sec.gov/cgi-bin/browse-edgar?action=getcompany&amp;CIK=0001980477" TargetMode="External"/><Relationship Id="rId23" Type="http://schemas.openxmlformats.org/officeDocument/2006/relationships/hyperlink" Target="http://www.sec.gov/cgi-bin/browse-edgar?action=getcompany&amp;CIK=0001830973" TargetMode="External"/><Relationship Id="rId24" Type="http://schemas.openxmlformats.org/officeDocument/2006/relationships/hyperlink" Target="http://www.sec.gov/cgi-bin/browse-edgar?action=getcompany&amp;CIK=0001978187" TargetMode="External"/><Relationship Id="rId25" Type="http://schemas.openxmlformats.org/officeDocument/2006/relationships/hyperlink" Target="http://www.sec.gov/cgi-bin/browse-edgar?action=getcompany&amp;CIK=00019788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2026-07-02T20:33:09Z</dcterms:created>
  <dcterms:modified xsi:type="dcterms:W3CDTF">2026-07-02T20:33:09Z</dcterms:modified>
</cp:coreProperties>
</file>