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NAVAN,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460" w:type="dxa"/>
        <w:tblCellMar>
          <w:top w:w="0" w:type="dxa"/>
          <w:left w:w="0" w:type="dxa"/>
          <w:bottom w:w="0" w:type="dxa"/>
          <w:right w:w="0" w:type="dxa"/>
        </w:tblCellMar>
      </w:tblPr>
      <w:tr>
        <w:trPr>
          <w:trHeight w:val="247"/>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w w:val="98"/>
              </w:rPr>
              <w:t>Delaware</w:t>
            </w:r>
          </w:p>
        </w:tc>
        <w:tc>
          <w:tcPr>
            <w:tcW w:w="5020" w:type="dxa"/>
            <w:vAlign w:val="bottom"/>
          </w:tcPr>
          <w:p>
            <w:pPr>
              <w:jc w:val="center"/>
              <w:ind w:right="320"/>
              <w:spacing w:after="0"/>
              <w:rPr>
                <w:sz w:val="20"/>
                <w:szCs w:val="20"/>
                <w:color w:val="auto"/>
              </w:rPr>
            </w:pPr>
            <w:r>
              <w:rPr>
                <w:rFonts w:ascii="Arial" w:cs="Arial" w:eastAsia="Arial" w:hAnsi="Arial"/>
                <w:sz w:val="18"/>
                <w:szCs w:val="18"/>
                <w:b w:val="1"/>
                <w:bCs w:val="1"/>
                <w:color w:val="auto"/>
                <w:w w:val="99"/>
              </w:rPr>
              <w:t>001-42922</w:t>
            </w:r>
          </w:p>
        </w:tc>
        <w:tc>
          <w:tcPr>
            <w:tcW w:w="1680" w:type="dxa"/>
            <w:vAlign w:val="bottom"/>
          </w:tcPr>
          <w:p>
            <w:pPr>
              <w:jc w:val="right"/>
              <w:ind w:right="61"/>
              <w:spacing w:after="0"/>
              <w:rPr>
                <w:sz w:val="20"/>
                <w:szCs w:val="20"/>
                <w:color w:val="auto"/>
              </w:rPr>
            </w:pPr>
            <w:r>
              <w:rPr>
                <w:rFonts w:ascii="Arial" w:cs="Arial" w:eastAsia="Arial" w:hAnsi="Arial"/>
                <w:sz w:val="18"/>
                <w:szCs w:val="18"/>
                <w:b w:val="1"/>
                <w:bCs w:val="1"/>
                <w:color w:val="auto"/>
              </w:rPr>
              <w:t>47-3424780</w:t>
            </w:r>
          </w:p>
        </w:tc>
      </w:tr>
      <w:tr>
        <w:trPr>
          <w:trHeight w:val="181"/>
        </w:trPr>
        <w:tc>
          <w:tcPr>
            <w:tcW w:w="2840" w:type="dxa"/>
            <w:vAlign w:val="bottom"/>
          </w:tcPr>
          <w:p>
            <w:pPr>
              <w:jc w:val="center"/>
              <w:ind w:right="19"/>
              <w:spacing w:after="0"/>
              <w:rPr>
                <w:sz w:val="20"/>
                <w:szCs w:val="20"/>
                <w:color w:val="auto"/>
              </w:rPr>
            </w:pPr>
            <w:r>
              <w:rPr>
                <w:rFonts w:ascii="Arial" w:cs="Arial" w:eastAsia="Arial" w:hAnsi="Arial"/>
                <w:sz w:val="14"/>
                <w:szCs w:val="14"/>
                <w:b w:val="1"/>
                <w:bCs w:val="1"/>
                <w:color w:val="auto"/>
              </w:rPr>
              <w:t>(State or Other Jurisdiction</w:t>
            </w:r>
          </w:p>
        </w:tc>
        <w:tc>
          <w:tcPr>
            <w:tcW w:w="5020" w:type="dxa"/>
            <w:vAlign w:val="bottom"/>
          </w:tcPr>
          <w:p>
            <w:pPr>
              <w:jc w:val="center"/>
              <w:ind w:right="340"/>
              <w:spacing w:after="0"/>
              <w:rPr>
                <w:sz w:val="20"/>
                <w:szCs w:val="20"/>
                <w:color w:val="auto"/>
              </w:rPr>
            </w:pPr>
            <w:r>
              <w:rPr>
                <w:rFonts w:ascii="Arial" w:cs="Arial" w:eastAsia="Arial" w:hAnsi="Arial"/>
                <w:sz w:val="14"/>
                <w:szCs w:val="14"/>
                <w:b w:val="1"/>
                <w:bCs w:val="1"/>
                <w:color w:val="auto"/>
              </w:rPr>
              <w:t>(Commission</w:t>
            </w:r>
          </w:p>
        </w:tc>
        <w:tc>
          <w:tcPr>
            <w:tcW w:w="1680" w:type="dxa"/>
            <w:vAlign w:val="bottom"/>
          </w:tcPr>
          <w:p>
            <w:pPr>
              <w:jc w:val="center"/>
              <w:ind w:left="38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840" w:type="dxa"/>
            <w:vAlign w:val="bottom"/>
          </w:tcPr>
          <w:p>
            <w:pPr>
              <w:jc w:val="center"/>
              <w:ind w:right="19"/>
              <w:spacing w:after="0"/>
              <w:rPr>
                <w:sz w:val="20"/>
                <w:szCs w:val="20"/>
                <w:color w:val="auto"/>
              </w:rPr>
            </w:pPr>
            <w:r>
              <w:rPr>
                <w:rFonts w:ascii="Arial" w:cs="Arial" w:eastAsia="Arial" w:hAnsi="Arial"/>
                <w:sz w:val="14"/>
                <w:szCs w:val="14"/>
                <w:b w:val="1"/>
                <w:bCs w:val="1"/>
                <w:color w:val="auto"/>
              </w:rPr>
              <w:t>of Incorporation)</w:t>
            </w:r>
          </w:p>
        </w:tc>
        <w:tc>
          <w:tcPr>
            <w:tcW w:w="5020" w:type="dxa"/>
            <w:vAlign w:val="bottom"/>
          </w:tcPr>
          <w:p>
            <w:pPr>
              <w:jc w:val="center"/>
              <w:ind w:right="34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tcPr>
          <w:p>
            <w:pPr>
              <w:jc w:val="center"/>
              <w:ind w:left="381"/>
              <w:spacing w:after="0"/>
              <w:rPr>
                <w:sz w:val="20"/>
                <w:szCs w:val="20"/>
                <w:color w:val="auto"/>
              </w:rPr>
            </w:pPr>
            <w:r>
              <w:rPr>
                <w:rFonts w:ascii="Arial" w:cs="Arial" w:eastAsia="Arial" w:hAnsi="Arial"/>
                <w:sz w:val="14"/>
                <w:szCs w:val="14"/>
                <w:b w:val="1"/>
                <w:bCs w:val="1"/>
                <w:color w:val="auto"/>
              </w:rPr>
              <w:t>Identification No.)</w:t>
            </w:r>
          </w:p>
        </w:tc>
      </w:tr>
      <w:tr>
        <w:trPr>
          <w:trHeight w:val="483"/>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rPr>
              <w:t>3045 Park Boulevard</w:t>
            </w:r>
          </w:p>
        </w:tc>
        <w:tc>
          <w:tcPr>
            <w:tcW w:w="50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w w:val="99"/>
              </w:rPr>
              <w:t>Palo Alto, California</w:t>
            </w:r>
          </w:p>
        </w:tc>
        <w:tc>
          <w:tcPr>
            <w:tcW w:w="5020" w:type="dxa"/>
            <w:vAlign w:val="bottom"/>
          </w:tcPr>
          <w:p>
            <w:pPr>
              <w:spacing w:after="0"/>
              <w:rPr>
                <w:sz w:val="23"/>
                <w:szCs w:val="23"/>
                <w:color w:val="auto"/>
              </w:rPr>
            </w:pPr>
          </w:p>
        </w:tc>
        <w:tc>
          <w:tcPr>
            <w:tcW w:w="1680" w:type="dxa"/>
            <w:vAlign w:val="bottom"/>
          </w:tcPr>
          <w:p>
            <w:pPr>
              <w:jc w:val="right"/>
              <w:ind w:right="281"/>
              <w:spacing w:after="0"/>
              <w:rPr>
                <w:sz w:val="20"/>
                <w:szCs w:val="20"/>
                <w:color w:val="auto"/>
              </w:rPr>
            </w:pPr>
            <w:r>
              <w:rPr>
                <w:rFonts w:ascii="Arial" w:cs="Arial" w:eastAsia="Arial" w:hAnsi="Arial"/>
                <w:sz w:val="18"/>
                <w:szCs w:val="18"/>
                <w:b w:val="1"/>
                <w:bCs w:val="1"/>
                <w:color w:val="auto"/>
              </w:rPr>
              <w:t>94306</w:t>
            </w:r>
          </w:p>
        </w:tc>
      </w:tr>
      <w:tr>
        <w:trPr>
          <w:trHeight w:val="196"/>
        </w:trPr>
        <w:tc>
          <w:tcPr>
            <w:tcW w:w="2840" w:type="dxa"/>
            <w:vAlign w:val="bottom"/>
          </w:tcPr>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tc>
        <w:tc>
          <w:tcPr>
            <w:tcW w:w="5020" w:type="dxa"/>
            <w:vAlign w:val="bottom"/>
          </w:tcPr>
          <w:p>
            <w:pPr>
              <w:spacing w:after="0"/>
              <w:rPr>
                <w:sz w:val="17"/>
                <w:szCs w:val="17"/>
                <w:color w:val="auto"/>
              </w:rPr>
            </w:pPr>
          </w:p>
        </w:tc>
        <w:tc>
          <w:tcPr>
            <w:tcW w:w="1680" w:type="dxa"/>
            <w:vAlign w:val="bottom"/>
          </w:tcPr>
          <w:p>
            <w:pPr>
              <w:jc w:val="center"/>
              <w:ind w:left="361"/>
              <w:spacing w:after="0"/>
              <w:rPr>
                <w:sz w:val="20"/>
                <w:szCs w:val="20"/>
                <w:color w:val="auto"/>
              </w:rPr>
            </w:pPr>
            <w:r>
              <w:rPr>
                <w:rFonts w:ascii="Arial" w:cs="Arial" w:eastAsia="Arial" w:hAnsi="Arial"/>
                <w:sz w:val="14"/>
                <w:szCs w:val="14"/>
                <w:b w:val="1"/>
                <w:bCs w:val="1"/>
                <w:color w:val="auto"/>
              </w:rPr>
              <w:t>(Zip Code)</w:t>
            </w:r>
          </w:p>
        </w:tc>
      </w:tr>
      <w:tr>
        <w:trPr>
          <w:trHeight w:val="479"/>
        </w:trPr>
        <w:tc>
          <w:tcPr>
            <w:tcW w:w="2840" w:type="dxa"/>
            <w:vAlign w:val="bottom"/>
          </w:tcPr>
          <w:p>
            <w:pPr>
              <w:spacing w:after="0"/>
              <w:rPr>
                <w:sz w:val="24"/>
                <w:szCs w:val="24"/>
                <w:color w:val="auto"/>
              </w:rPr>
            </w:pPr>
          </w:p>
        </w:tc>
        <w:tc>
          <w:tcPr>
            <w:tcW w:w="5020" w:type="dxa"/>
            <w:vAlign w:val="bottom"/>
          </w:tcPr>
          <w:p>
            <w:pPr>
              <w:jc w:val="center"/>
              <w:ind w:right="300"/>
              <w:spacing w:after="0"/>
              <w:rPr>
                <w:sz w:val="20"/>
                <w:szCs w:val="20"/>
                <w:color w:val="auto"/>
              </w:rPr>
            </w:pPr>
            <w:r>
              <w:rPr>
                <w:rFonts w:ascii="Arial" w:cs="Arial" w:eastAsia="Arial" w:hAnsi="Arial"/>
                <w:sz w:val="18"/>
                <w:szCs w:val="18"/>
                <w:b w:val="1"/>
                <w:bCs w:val="1"/>
                <w:color w:val="auto"/>
              </w:rPr>
              <w:t>(888) 505-8747</w:t>
            </w:r>
          </w:p>
        </w:tc>
        <w:tc>
          <w:tcPr>
            <w:tcW w:w="1680" w:type="dxa"/>
            <w:vAlign w:val="bottom"/>
          </w:tcPr>
          <w:p>
            <w:pPr>
              <w:spacing w:after="0"/>
              <w:rPr>
                <w:sz w:val="24"/>
                <w:szCs w:val="24"/>
                <w:color w:val="auto"/>
              </w:rPr>
            </w:pPr>
          </w:p>
        </w:tc>
      </w:tr>
      <w:tr>
        <w:trPr>
          <w:trHeight w:val="196"/>
        </w:trPr>
        <w:tc>
          <w:tcPr>
            <w:tcW w:w="2840" w:type="dxa"/>
            <w:vAlign w:val="bottom"/>
          </w:tcPr>
          <w:p>
            <w:pPr>
              <w:spacing w:after="0"/>
              <w:rPr>
                <w:sz w:val="17"/>
                <w:szCs w:val="17"/>
                <w:color w:val="auto"/>
              </w:rPr>
            </w:pPr>
          </w:p>
        </w:tc>
        <w:tc>
          <w:tcPr>
            <w:tcW w:w="5020" w:type="dxa"/>
            <w:vAlign w:val="bottom"/>
          </w:tcPr>
          <w:p>
            <w:pPr>
              <w:jc w:val="center"/>
              <w:ind w:right="3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680" w:type="dxa"/>
            <w:vAlign w:val="bottom"/>
          </w:tcPr>
          <w:p>
            <w:pPr>
              <w:spacing w:after="0"/>
              <w:rPr>
                <w:sz w:val="17"/>
                <w:szCs w:val="17"/>
                <w:color w:val="auto"/>
              </w:rPr>
            </w:pPr>
          </w:p>
        </w:tc>
      </w:tr>
      <w:tr>
        <w:trPr>
          <w:trHeight w:val="330"/>
        </w:trPr>
        <w:tc>
          <w:tcPr>
            <w:tcW w:w="2840" w:type="dxa"/>
            <w:vAlign w:val="bottom"/>
          </w:tcPr>
          <w:p>
            <w:pPr>
              <w:spacing w:after="0"/>
              <w:rPr>
                <w:sz w:val="24"/>
                <w:szCs w:val="24"/>
                <w:color w:val="auto"/>
              </w:rPr>
            </w:pPr>
          </w:p>
        </w:tc>
        <w:tc>
          <w:tcPr>
            <w:tcW w:w="5020" w:type="dxa"/>
            <w:vAlign w:val="bottom"/>
          </w:tcPr>
          <w:p>
            <w:pPr>
              <w:jc w:val="center"/>
              <w:ind w:right="280"/>
              <w:spacing w:after="0"/>
              <w:rPr>
                <w:sz w:val="20"/>
                <w:szCs w:val="20"/>
                <w:color w:val="auto"/>
              </w:rPr>
            </w:pPr>
            <w:r>
              <w:rPr>
                <w:rFonts w:ascii="Arial" w:cs="Arial" w:eastAsia="Arial" w:hAnsi="Arial"/>
                <w:sz w:val="18"/>
                <w:szCs w:val="18"/>
                <w:b w:val="1"/>
                <w:bCs w:val="1"/>
                <w:color w:val="auto"/>
                <w:w w:val="99"/>
              </w:rPr>
              <w:t>Not Applicable</w:t>
            </w:r>
          </w:p>
        </w:tc>
        <w:tc>
          <w:tcPr>
            <w:tcW w:w="1680" w:type="dxa"/>
            <w:vAlign w:val="bottom"/>
          </w:tcPr>
          <w:p>
            <w:pPr>
              <w:spacing w:after="0"/>
              <w:rPr>
                <w:sz w:val="24"/>
                <w:szCs w:val="24"/>
                <w:color w:val="auto"/>
              </w:rPr>
            </w:pPr>
          </w:p>
        </w:tc>
      </w:tr>
      <w:tr>
        <w:trPr>
          <w:trHeight w:val="196"/>
        </w:trPr>
        <w:tc>
          <w:tcPr>
            <w:tcW w:w="2840" w:type="dxa"/>
            <w:vAlign w:val="bottom"/>
          </w:tcPr>
          <w:p>
            <w:pPr>
              <w:spacing w:after="0"/>
              <w:rPr>
                <w:sz w:val="17"/>
                <w:szCs w:val="17"/>
                <w:color w:val="auto"/>
              </w:rPr>
            </w:pPr>
          </w:p>
        </w:tc>
        <w:tc>
          <w:tcPr>
            <w:tcW w:w="5020" w:type="dxa"/>
            <w:vAlign w:val="bottom"/>
          </w:tcPr>
          <w:p>
            <w:pPr>
              <w:jc w:val="center"/>
              <w:ind w:right="300"/>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6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right="232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18"/>
          <w:szCs w:val="18"/>
          <w:color w:val="auto"/>
        </w:rPr>
      </w:pPr>
    </w:p>
    <w:p>
      <w:pPr>
        <w:ind w:left="400" w:right="232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24"/>
        </w:trPr>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78"/>
        </w:trPr>
        <w:tc>
          <w:tcPr>
            <w:tcW w:w="3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9"/>
              </w:rPr>
              <w:t>Class A Common Stock, $0.00000625 par</w:t>
            </w:r>
          </w:p>
        </w:tc>
        <w:tc>
          <w:tcPr>
            <w:tcW w:w="120" w:type="dxa"/>
            <w:vAlign w:val="bottom"/>
          </w:tcPr>
          <w:p>
            <w:pPr>
              <w:spacing w:after="0"/>
              <w:rPr>
                <w:sz w:val="15"/>
                <w:szCs w:val="15"/>
                <w:color w:val="auto"/>
              </w:rPr>
            </w:pPr>
          </w:p>
        </w:tc>
        <w:tc>
          <w:tcPr>
            <w:tcW w:w="3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7"/>
              </w:rPr>
              <w:t>NAVN</w:t>
            </w:r>
          </w:p>
        </w:tc>
        <w:tc>
          <w:tcPr>
            <w:tcW w:w="120" w:type="dxa"/>
            <w:vAlign w:val="bottom"/>
          </w:tcPr>
          <w:p>
            <w:pPr>
              <w:spacing w:after="0"/>
              <w:rPr>
                <w:sz w:val="15"/>
                <w:szCs w:val="15"/>
                <w:color w:val="auto"/>
              </w:rPr>
            </w:pPr>
          </w:p>
        </w:tc>
        <w:tc>
          <w:tcPr>
            <w:tcW w:w="3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rPr>
              <w:t>The Nasdaq Stock Market LLC</w:t>
            </w:r>
          </w:p>
        </w:tc>
      </w:tr>
      <w:tr>
        <w:trPr>
          <w:trHeight w:val="247"/>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value</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bl>
    <w:p>
      <w:pPr>
        <w:spacing w:after="0" w:line="2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7" w:right="339" w:bottom="1149"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25, 2026, Navan, Inc. (the “Company”) issued a press release announcing financial results for the fiscal quarter and year ended January 31, 2026 and other business highlights. A copy of the press release is being furnished as Exhibit 99.1 to this Current Report on Form 8-K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March 25, 2026, the Company posted supplemental investor materials, including prepared remarks and a slide presentation, on its investors.navan.com website.</w:t>
      </w:r>
    </w:p>
    <w:p>
      <w:pPr>
        <w:spacing w:after="0" w:line="15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information in Items 2.02 and 7.01 of this Current Report on Form 8-K and the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incorporated by specific reference in such a filing.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w w:val="96"/>
              </w:rPr>
              <w:t>99.</w:t>
            </w:r>
            <w:r>
              <w:rPr>
                <w:rFonts w:ascii="Arial" w:cs="Arial" w:eastAsia="Arial" w:hAnsi="Arial"/>
                <w:sz w:val="18"/>
                <w:szCs w:val="18"/>
                <w:u w:val="single" w:color="auto"/>
                <w:color w:val="auto"/>
                <w:w w:val="96"/>
              </w:rPr>
              <w:t>1</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0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8"/>
                <w:szCs w:val="18"/>
                <w:color w:val="0000FF"/>
              </w:rPr>
              <w:t>Press Release dated March 25, 2026</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4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Navan, Inc.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25, 2026</w:t>
      </w:r>
    </w:p>
    <w:p>
      <w:pPr>
        <w:spacing w:after="0" w:line="15" w:lineRule="exact"/>
        <w:rPr>
          <w:sz w:val="20"/>
          <w:szCs w:val="20"/>
          <w:color w:val="auto"/>
        </w:rPr>
      </w:pPr>
    </w:p>
    <w:p>
      <w:pPr>
        <w:ind w:left="4960"/>
        <w:spacing w:after="0"/>
        <w:tabs>
          <w:tab w:leader="none" w:pos="5460" w:val="left"/>
        </w:tabs>
        <w:rPr>
          <w:sz w:val="20"/>
          <w:szCs w:val="20"/>
          <w:color w:val="auto"/>
        </w:rPr>
      </w:pPr>
      <w:r>
        <w:rPr>
          <w:rFonts w:ascii="Arial" w:cs="Arial" w:eastAsia="Arial" w:hAnsi="Arial"/>
          <w:sz w:val="18"/>
          <w:szCs w:val="18"/>
          <w:color w:val="auto"/>
        </w:rPr>
        <w:t>By:</w:t>
        <w:tab/>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12065</wp:posOffset>
            </wp:positionV>
            <wp:extent cx="3669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Ariel Cohen</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20"/>
          </w:cols>
          <w:pgMar w:left="320" w:top="141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Navan Announces Fourth Quarter and Full Fiscal Year 2026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Revenue Grew 35% Year-Over-Year to $178 million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First Full Year of Positive Cash Flows from Operating Activities and Free Cash Flow, Reaching Milestone One Year Ahead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Target</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PALO ALTO, CA, March 25, 2026 — Navan, Inc. </w:t>
      </w:r>
      <w:r>
        <w:rPr>
          <w:rFonts w:ascii="Arial" w:cs="Arial" w:eastAsia="Arial" w:hAnsi="Arial"/>
          <w:sz w:val="18"/>
          <w:szCs w:val="18"/>
          <w:color w:val="auto"/>
        </w:rPr>
        <w:t>(NASDAQ: NAVN), the global AI-powered business travel and expense platform, today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financial results for its fourth quarter and full year ended January 31, 2026.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“Q4 was a landmark quarter for Navan, marked by 35% revenue growth and a 1,100 basis point expansion in non-GAAP operating margin,” said Navan co-founder and CEO, Ariel Cohen. “Our AI-first platform is winning the enterprise market by replacing fragmented legacy systems with a unified, scalable solution. Between the launch of Navan Edge and the announcement that we will be migrating customers off of our R&amp;M service model onto our core infrastructure, we are turning high-touch service into a high-scale, high-margin engine. With record-breaking go-to-market momentum, we believe we are better positioned than ever to redefine the travel and expense industry.”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thrilled to join Navan at such an exciting growth period for the company,” said Aurélien Nolf, Navan CFO. “Our FY’26 results, including 31% revenue growth, $ 34 million in cash flows provided by operating activities, and $15 million in free cash flow, demonstrate the inherent scalability of our model. Despite seasonal trends, Q4 Gross Booking Volume grew 42% year-over-year, fueled by rapid enterprise onboarding and disciplined execution. We enter FY’27 with a strong balance sheet and a clear path to continue expanding margins while investing in high-conviction innovation.”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and Full Fiscal Year 2026 Financial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2026</w:t>
      </w:r>
    </w:p>
    <w:p>
      <w:pPr>
        <w:spacing w:after="0" w:line="25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$178 million, an increase of 35% year-over-year</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Usage revenue was $161 million, an increase of 35% year-over-year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Subscription revenue was $17 million, an increase of 29% year-over-year</w:t>
      </w:r>
    </w:p>
    <w:p>
      <w:pPr>
        <w:spacing w:after="0" w:line="13"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Gross Booking Volume (“GBV”) grew 42% year-over-year, to $2.3 billion in the quarter</w:t>
      </w:r>
    </w:p>
    <w:p>
      <w:pPr>
        <w:spacing w:after="0" w:line="26"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Payment Volume grew 19% year-over-year, to $1.0 billion in the quarter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Year 2026</w:t>
      </w:r>
    </w:p>
    <w:p>
      <w:pPr>
        <w:spacing w:after="0" w:line="25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was $702 million, an increase of 31% year-over-year</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Usage revenue was $640 million, an increase of 31% year-over-year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Subscription revenue was $62 million, an increase of 33% year-over-year</w:t>
      </w:r>
    </w:p>
    <w:p>
      <w:pPr>
        <w:spacing w:after="0" w:line="1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GBV grew 38% year-over-year, to $9.1 billion in the year</w:t>
      </w:r>
    </w:p>
    <w:p>
      <w:pPr>
        <w:spacing w:after="0" w:line="2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Payment Volume grew 13% year-over-year, to $4.1 billion in the year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2026</w:t>
      </w:r>
    </w:p>
    <w:p>
      <w:pPr>
        <w:spacing w:after="0" w:line="250" w:lineRule="exact"/>
        <w:rPr>
          <w:sz w:val="20"/>
          <w:szCs w:val="20"/>
          <w:color w:val="auto"/>
        </w:rPr>
      </w:pPr>
    </w:p>
    <w:p>
      <w:pPr>
        <w:ind w:left="660" w:hanging="328"/>
        <w:spacing w:after="0" w:line="260"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gross profit was $126 million, representing 71% gross margin, compared to $89 million, or 68% gross margin, in the fourth quarter of fiscal year 2025</w:t>
      </w:r>
    </w:p>
    <w:p>
      <w:pPr>
        <w:spacing w:after="0" w:line="1" w:lineRule="exact"/>
        <w:rPr>
          <w:rFonts w:ascii="Arial" w:cs="Arial" w:eastAsia="Arial" w:hAnsi="Arial"/>
          <w:sz w:val="18"/>
          <w:szCs w:val="18"/>
          <w:color w:val="auto"/>
        </w:rPr>
      </w:pPr>
    </w:p>
    <w:p>
      <w:pPr>
        <w:ind w:left="660" w:hanging="328"/>
        <w:spacing w:after="0" w:line="26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gross profit was $128 million, representing 72% non-GAAP gross margin, compared to $90 million, or 68% non-GAAP gross margin, in the fourth quarter of fiscal year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Year 2026</w:t>
      </w:r>
    </w:p>
    <w:p>
      <w:pPr>
        <w:spacing w:after="0" w:line="250" w:lineRule="exact"/>
        <w:rPr>
          <w:sz w:val="20"/>
          <w:szCs w:val="20"/>
          <w:color w:val="auto"/>
        </w:rPr>
      </w:pPr>
    </w:p>
    <w:p>
      <w:pPr>
        <w:ind w:left="660" w:right="20" w:hanging="328"/>
        <w:spacing w:after="0" w:line="260"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gross profit was $500 million, representing 71% gross margin, compared to $367 million, or 68% gross margin, in the full fiscal year 2025</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gross profit was $511 million, representing 73% non-GAAP gross margin, compared to $372 million, or 69% non-GAAP gross margin, in the full fiscal year 2025</w:t>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Income (Loss) from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2026</w:t>
      </w:r>
    </w:p>
    <w:p>
      <w:pPr>
        <w:spacing w:after="0" w:line="250" w:lineRule="exact"/>
        <w:rPr>
          <w:sz w:val="20"/>
          <w:szCs w:val="20"/>
          <w:color w:val="auto"/>
        </w:rPr>
      </w:pPr>
    </w:p>
    <w:p>
      <w:pPr>
        <w:ind w:left="660" w:hanging="328"/>
        <w:spacing w:after="0" w:line="260"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loss from operations was $89 million compared to a loss from operations of $33 million in the fourth quarter of fiscal year 2025; GAAP operating margin was (50)%, compared to (25)% in the fourth quarter of fiscal year 2025</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4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income from operations was $1 million, compared to non-GAAP loss from operations of $14 million in the fourth quarter of fiscal year 2025; Non-GAAP operating margin was 0%, compared to (11)% in the fourth quarter of fiscal year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Year 2026</w:t>
      </w:r>
    </w:p>
    <w:p>
      <w:pPr>
        <w:spacing w:after="0" w:line="250" w:lineRule="exact"/>
        <w:rPr>
          <w:sz w:val="20"/>
          <w:szCs w:val="20"/>
          <w:color w:val="auto"/>
        </w:rPr>
      </w:pPr>
    </w:p>
    <w:p>
      <w:pPr>
        <w:ind w:left="660" w:hanging="328"/>
        <w:spacing w:after="0" w:line="260"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loss from operations was $197 million, compared to a loss from operations of $108 million in the full fiscal year 2025; GAAP operating margin was (28)%, compared to (20)% in the full fiscal year 2025</w:t>
      </w:r>
    </w:p>
    <w:p>
      <w:pPr>
        <w:spacing w:after="0" w:line="1" w:lineRule="exact"/>
        <w:rPr>
          <w:rFonts w:ascii="Arial" w:cs="Arial" w:eastAsia="Arial" w:hAnsi="Arial"/>
          <w:sz w:val="18"/>
          <w:szCs w:val="18"/>
          <w:color w:val="auto"/>
        </w:rPr>
      </w:pPr>
    </w:p>
    <w:p>
      <w:pPr>
        <w:ind w:left="660" w:hanging="328"/>
        <w:spacing w:after="0" w:line="266"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income from operations was $37 million, compared to non-GAAP loss from operations of $25 million in the full fiscal year 2025; Non-GAAP operating margin was 5%, compared to (5)% in the full fiscal year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2026</w:t>
      </w:r>
    </w:p>
    <w:p>
      <w:pPr>
        <w:spacing w:after="0" w:line="25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net loss was $73 million, compared to a net loss of $47 million in the fourth quarter of fiscal year 2025</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net income was $5 million, compared to a non-GAAP net loss of $33 million in the fourth quarter of fiscal year 2025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Year 2026</w:t>
      </w:r>
    </w:p>
    <w:p>
      <w:pPr>
        <w:spacing w:after="0" w:line="250"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loss was $398 million, compared to a net loss of $181 million in the full fiscal year 2025</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Non-GAAP net loss was $0.3 million, compared to a non-GAAP net loss of $96 million in the full fiscal year 2025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40" w:lineRule="exact"/>
        <w:rPr>
          <w:sz w:val="20"/>
          <w:szCs w:val="20"/>
          <w:color w:val="auto"/>
        </w:rPr>
      </w:pPr>
    </w:p>
    <w:p>
      <w:pPr>
        <w:ind w:left="660" w:right="220" w:hanging="328"/>
        <w:spacing w:after="0" w:line="271"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Launched Navan Edge: </w:t>
      </w:r>
      <w:r>
        <w:rPr>
          <w:rFonts w:ascii="Arial" w:cs="Arial" w:eastAsia="Arial" w:hAnsi="Arial"/>
          <w:sz w:val="18"/>
          <w:szCs w:val="18"/>
          <w:color w:val="auto"/>
        </w:rPr>
        <w:t>Introducing a hyper-personalized AI travel assistant that brings the value of Navan to even more frequent</w:t>
      </w:r>
      <w:r>
        <w:rPr>
          <w:rFonts w:ascii="Arial" w:cs="Arial" w:eastAsia="Arial" w:hAnsi="Arial"/>
          <w:sz w:val="18"/>
          <w:szCs w:val="18"/>
          <w:b w:val="1"/>
          <w:bCs w:val="1"/>
          <w:color w:val="auto"/>
        </w:rPr>
        <w:t xml:space="preserve"> </w:t>
      </w:r>
      <w:r>
        <w:rPr>
          <w:rFonts w:ascii="Arial" w:cs="Arial" w:eastAsia="Arial" w:hAnsi="Arial"/>
          <w:sz w:val="18"/>
          <w:szCs w:val="18"/>
          <w:color w:val="auto"/>
        </w:rPr>
        <w:t>travelers.</w:t>
      </w:r>
    </w:p>
    <w:p>
      <w:pPr>
        <w:spacing w:after="0" w:line="1" w:lineRule="exact"/>
        <w:rPr>
          <w:rFonts w:ascii="Arial" w:cs="Arial" w:eastAsia="Arial" w:hAnsi="Arial"/>
          <w:sz w:val="18"/>
          <w:szCs w:val="18"/>
          <w:color w:val="auto"/>
        </w:rPr>
      </w:pPr>
    </w:p>
    <w:p>
      <w:pPr>
        <w:ind w:left="660" w:right="200" w:hanging="328"/>
        <w:spacing w:after="0" w:line="281"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Announced Plans to Add Reed &amp; Mackay Customers to the Navan Platform: </w:t>
      </w:r>
      <w:r>
        <w:rPr>
          <w:rFonts w:ascii="Arial" w:cs="Arial" w:eastAsia="Arial" w:hAnsi="Arial"/>
          <w:sz w:val="18"/>
          <w:szCs w:val="18"/>
          <w:color w:val="auto"/>
        </w:rPr>
        <w:t>Combining Navan’s cutting-edge technology with</w:t>
      </w:r>
      <w:r>
        <w:rPr>
          <w:rFonts w:ascii="Arial" w:cs="Arial" w:eastAsia="Arial" w:hAnsi="Arial"/>
          <w:sz w:val="18"/>
          <w:szCs w:val="18"/>
          <w:b w:val="1"/>
          <w:bCs w:val="1"/>
          <w:color w:val="auto"/>
        </w:rPr>
        <w:t xml:space="preserve"> </w:t>
      </w:r>
      <w:r>
        <w:rPr>
          <w:rFonts w:ascii="Arial" w:cs="Arial" w:eastAsia="Arial" w:hAnsi="Arial"/>
          <w:sz w:val="18"/>
          <w:szCs w:val="18"/>
          <w:color w:val="auto"/>
        </w:rPr>
        <w:t>R&amp;M’s best-in-class service to create a new premium offering from Navan.</w:t>
      </w:r>
    </w:p>
    <w:p>
      <w:pPr>
        <w:spacing w:after="0" w:line="1" w:lineRule="exact"/>
        <w:rPr>
          <w:rFonts w:ascii="Arial" w:cs="Arial" w:eastAsia="Arial" w:hAnsi="Arial"/>
          <w:sz w:val="18"/>
          <w:szCs w:val="18"/>
          <w:color w:val="auto"/>
        </w:rPr>
      </w:pPr>
    </w:p>
    <w:p>
      <w:pPr>
        <w:ind w:left="660" w:right="360" w:hanging="328"/>
        <w:spacing w:after="0" w:line="273"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Appointed Aurélien Nolf as CFO: </w:t>
      </w:r>
      <w:r>
        <w:rPr>
          <w:rFonts w:ascii="Arial" w:cs="Arial" w:eastAsia="Arial" w:hAnsi="Arial"/>
          <w:sz w:val="18"/>
          <w:szCs w:val="18"/>
          <w:color w:val="auto"/>
        </w:rPr>
        <w:t>Strengthening the executive team with a seasoned finance and business leader who brings a</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technology-first mindset.</w:t>
      </w:r>
    </w:p>
    <w:p>
      <w:pPr>
        <w:spacing w:after="0" w:line="1" w:lineRule="exact"/>
        <w:rPr>
          <w:rFonts w:ascii="Arial" w:cs="Arial" w:eastAsia="Arial" w:hAnsi="Arial"/>
          <w:sz w:val="18"/>
          <w:szCs w:val="18"/>
          <w:color w:val="auto"/>
        </w:rPr>
      </w:pPr>
    </w:p>
    <w:p>
      <w:pPr>
        <w:ind w:left="660" w:right="260" w:hanging="328"/>
        <w:spacing w:after="0" w:line="279"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Added Shai Weiss to the Board of Directors: </w:t>
      </w:r>
      <w:r>
        <w:rPr>
          <w:rFonts w:ascii="Arial" w:cs="Arial" w:eastAsia="Arial" w:hAnsi="Arial"/>
          <w:sz w:val="18"/>
          <w:szCs w:val="18"/>
          <w:color w:val="auto"/>
        </w:rPr>
        <w:t>Bolstering Board expertise with the former Virgin Atlantic CEO’s decades of deep-rooted travel industry experience.</w:t>
      </w:r>
    </w:p>
    <w:p>
      <w:pPr>
        <w:ind w:left="660" w:right="660" w:hanging="328"/>
        <w:spacing w:after="0" w:line="276"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Launched New AI Expense Agent: </w:t>
      </w:r>
      <w:r>
        <w:rPr>
          <w:rFonts w:ascii="Arial" w:cs="Arial" w:eastAsia="Arial" w:hAnsi="Arial"/>
          <w:sz w:val="18"/>
          <w:szCs w:val="18"/>
          <w:color w:val="auto"/>
        </w:rPr>
        <w:t>Eliminating manual expense reports by bringing the simplicity of Navan’s corporate card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to the most complex segments of the expense process.</w:t>
      </w:r>
    </w:p>
    <w:p>
      <w:pPr>
        <w:ind w:left="660" w:right="360" w:hanging="328"/>
        <w:spacing w:after="0" w:line="318"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Continued Enterprise Momentum: </w:t>
      </w:r>
      <w:r>
        <w:rPr>
          <w:rFonts w:ascii="Arial" w:cs="Arial" w:eastAsia="Arial" w:hAnsi="Arial"/>
          <w:sz w:val="18"/>
          <w:szCs w:val="18"/>
          <w:color w:val="auto"/>
        </w:rPr>
        <w:t>Winning the enterprise market by partnering with companies like Yahoo, Simon-Kucher, and</w:t>
      </w:r>
      <w:r>
        <w:rPr>
          <w:rFonts w:ascii="Arial" w:cs="Arial" w:eastAsia="Arial" w:hAnsi="Arial"/>
          <w:sz w:val="18"/>
          <w:szCs w:val="18"/>
          <w:b w:val="1"/>
          <w:bCs w:val="1"/>
          <w:color w:val="auto"/>
        </w:rPr>
        <w:t xml:space="preserve"> </w:t>
      </w:r>
      <w:r>
        <w:rPr>
          <w:rFonts w:ascii="Arial" w:cs="Arial" w:eastAsia="Arial" w:hAnsi="Arial"/>
          <w:sz w:val="18"/>
          <w:szCs w:val="18"/>
          <w:color w:val="auto"/>
        </w:rPr>
        <w:t>Darktrace to modernize their travel and expense programs.</w:t>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year 2027 (ending April 30, 2026), Navan currently expects:</w:t>
      </w:r>
    </w:p>
    <w:p>
      <w:pPr>
        <w:spacing w:after="0" w:line="234"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revenue in the range of $204 - $206 million, representing year-over-year growth of 30% at the midpoint</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income from operations of $4.5 - $5.5 million and non-GAAP operating margin of 2% at the midpoint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2027 (ending January 31, 2027), Navan currently expects:</w:t>
      </w:r>
    </w:p>
    <w:p>
      <w:pPr>
        <w:spacing w:after="0" w:line="27"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revenue in the range of $866 - $874 million, representing year-over-year growth of 24% at the midpoint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income from operations in the range of $58 - $62 million and non-GAAP operating margin of 7% at the midpoint</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Navan's results computed in accordance with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Webcast: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Navan will host a conference call on Wednesday, March 25, 2026, at 4:30 p.m. Eastern Time (ET) to discuss the company’s fourth quarter and full fiscal 2026 financial results and its business outlook. To register for this conference call, please use this dial-in registration link or visit Navan's Investor Relations website at </w:t>
      </w:r>
      <w:r>
        <w:rPr>
          <w:rFonts w:ascii="Arial" w:cs="Arial" w:eastAsia="Arial" w:hAnsi="Arial"/>
          <w:sz w:val="18"/>
          <w:szCs w:val="18"/>
          <w:u w:val="single" w:color="auto"/>
          <w:color w:val="3051F2"/>
        </w:rPr>
        <w:t>investors.navan.com</w:t>
      </w:r>
      <w:r>
        <w:rPr>
          <w:rFonts w:ascii="Arial" w:cs="Arial" w:eastAsia="Arial" w:hAnsi="Arial"/>
          <w:sz w:val="18"/>
          <w:szCs w:val="18"/>
          <w:color w:val="auto"/>
        </w:rPr>
        <w:t>. After registering, a confirmation email will be sent, including dial-in details and a unique code for entry. Participants who wish to register for the conference call webcast, please use this link.</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Supplemental materials, including management’s prepared remarks and a slide presentation, will be available on Navan's Investor Relations website at </w:t>
      </w:r>
      <w:r>
        <w:rPr>
          <w:rFonts w:ascii="Arial" w:cs="Arial" w:eastAsia="Arial" w:hAnsi="Arial"/>
          <w:sz w:val="18"/>
          <w:szCs w:val="18"/>
          <w:u w:val="single" w:color="auto"/>
          <w:color w:val="3051F2"/>
        </w:rPr>
        <w:t>investors.navan.com</w:t>
      </w:r>
      <w:r>
        <w:rPr>
          <w:rFonts w:ascii="Arial" w:cs="Arial" w:eastAsia="Arial" w:hAnsi="Arial"/>
          <w:sz w:val="18"/>
          <w:szCs w:val="18"/>
          <w:color w:val="auto"/>
        </w:rPr>
        <w:t xml:space="preserve"> in advance of the call. An archived webcast of this conference call will also be available on Navan's Investor Relations website.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used, and intends to continue to use, the investor relations portion of its website as a means of disclosing material non-public information and for complying with disclosure obligations under Regulation FD.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Navan has provided in this press release supplemental financial information that has not been prepared in accordance with accounting principles generally accepted in the United States (GAAP), including references to non-GAAP gross profit, non-GAAP gross margin, non-GAAP income (loss) from operations, non-GAAP operating margin, non -GAAP net income (loss), non-GAAP net income (loss) per share, and free cash flow. Navan uses these non-GAAP financial measures internally in analyzing its financial results and believes that the disclosure of these non-GAAP financial measures is useful to investors as an additional tool to evaluate ongoing operating results and trends and because it allows for greater transparency with respect to key measures used by senior management in our financial and operational decision making.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include these non-GAAP financial measures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ectPr>
          <w:pgSz w:w="11900" w:h="16838" w:orient="portrait"/>
          <w:cols w:equalWidth="0" w:num="1">
            <w:col w:w="11240"/>
          </w:cols>
          <w:pgMar w:left="320" w:top="769" w:right="339" w:bottom="1440" w:gutter="0" w:footer="0" w:header="0"/>
        </w:sectPr>
      </w:pPr>
    </w:p>
    <w:bookmarkStart w:id="6" w:name="page7"/>
    <w:bookmarkEnd w:id="6"/>
    <w:p>
      <w:pPr>
        <w:spacing w:after="0" w:line="287" w:lineRule="auto"/>
        <w:rPr>
          <w:sz w:val="20"/>
          <w:szCs w:val="20"/>
          <w:color w:val="auto"/>
        </w:rPr>
      </w:pPr>
      <w:r>
        <w:rPr>
          <w:rFonts w:ascii="Arial" w:cs="Arial" w:eastAsia="Arial" w:hAnsi="Arial"/>
          <w:sz w:val="18"/>
          <w:szCs w:val="18"/>
          <w:color w:val="auto"/>
        </w:rPr>
        <w:t>A reconciliation of Navan’s historical non-GAAP financial measures presented in this press release to their most directly comparable GAAP measures has been provided in the financial statement tables included herein, and investors are encouraged to review the reconciliations.</w:t>
      </w:r>
    </w:p>
    <w:p>
      <w:pPr>
        <w:spacing w:after="0" w:line="180" w:lineRule="exact"/>
        <w:rPr>
          <w:sz w:val="20"/>
          <w:szCs w:val="20"/>
          <w:color w:val="auto"/>
        </w:rPr>
      </w:pPr>
    </w:p>
    <w:p>
      <w:pPr>
        <w:jc w:val="both"/>
        <w:ind w:left="660" w:hanging="328"/>
        <w:spacing w:after="0" w:line="268" w:lineRule="auto"/>
        <w:tabs>
          <w:tab w:leader="none" w:pos="661"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Gross Profit and Non-GAAP Gross Margin. </w:t>
      </w:r>
      <w:r>
        <w:rPr>
          <w:rFonts w:ascii="Arial" w:cs="Arial" w:eastAsia="Arial" w:hAnsi="Arial"/>
          <w:sz w:val="18"/>
          <w:szCs w:val="18"/>
          <w:color w:val="auto"/>
        </w:rPr>
        <w:t>Navan defines non-GAAP gross profit as GAAP gross profit,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compensation-related charges, amortization of intangible assets, and restructuring costs. Navan defines non-GAAP gross margin as non-GAAP gross profit divided by revenue.</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61" w:val="left"/>
        </w:tabs>
        <w:numPr>
          <w:ilvl w:val="0"/>
          <w:numId w:val="13"/>
        </w:numPr>
        <w:rPr>
          <w:rFonts w:ascii="Arial" w:cs="Arial" w:eastAsia="Arial" w:hAnsi="Arial"/>
          <w:sz w:val="18"/>
          <w:szCs w:val="18"/>
          <w:color w:val="232426"/>
        </w:rPr>
      </w:pPr>
      <w:r>
        <w:rPr>
          <w:rFonts w:ascii="Arial" w:cs="Arial" w:eastAsia="Arial" w:hAnsi="Arial"/>
          <w:sz w:val="18"/>
          <w:szCs w:val="18"/>
          <w:b w:val="1"/>
          <w:bCs w:val="1"/>
          <w:color w:val="auto"/>
        </w:rPr>
        <w:t xml:space="preserve">Non-GAAP Income (Loss) from Operations and Non-GAAP Operating Margin. </w:t>
      </w:r>
      <w:r>
        <w:rPr>
          <w:rFonts w:ascii="Arial" w:cs="Arial" w:eastAsia="Arial" w:hAnsi="Arial"/>
          <w:sz w:val="18"/>
          <w:szCs w:val="18"/>
          <w:color w:val="auto"/>
        </w:rPr>
        <w:t>Navan defines non-GAAP income (loss)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as GAAP loss from operations, excluding stock-based compensation-related charges, amortization of intangible assets, accelerated amortization of trade name intangible asset, severance and executive transition costs, and restructuring costs. Navan defines non-GAAP operating margin as non-GAAP income (loss) from operations divided by revenue.</w:t>
      </w:r>
    </w:p>
    <w:p>
      <w:pPr>
        <w:spacing w:after="0" w:line="203" w:lineRule="exact"/>
        <w:rPr>
          <w:rFonts w:ascii="Arial" w:cs="Arial" w:eastAsia="Arial" w:hAnsi="Arial"/>
          <w:sz w:val="18"/>
          <w:szCs w:val="18"/>
          <w:color w:val="232426"/>
        </w:rPr>
      </w:pPr>
    </w:p>
    <w:p>
      <w:pPr>
        <w:jc w:val="both"/>
        <w:ind w:left="660" w:hanging="328"/>
        <w:spacing w:after="0" w:line="259"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(Loss). </w:t>
      </w:r>
      <w:r>
        <w:rPr>
          <w:rFonts w:ascii="Arial" w:cs="Arial" w:eastAsia="Arial" w:hAnsi="Arial"/>
          <w:sz w:val="18"/>
          <w:szCs w:val="18"/>
          <w:color w:val="auto"/>
        </w:rPr>
        <w:t>Navan defines non-GAAP net income (loss) as GAAP net loss, excluding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compensation-related charges, amortization of intangible assets, accelerated amortization of trade name intangible asset, amortization of debt discount and debt issuance costs, loss (gain) on fair value adjustments, SAFE debt issuance costs expensed, loss on extinguishment of debt, severance and executive transition costs, and restructuring costs, and adjusted to reflect the income tax effects of the non-GAAP adjustments to GAAP loss before income tax expense.</w:t>
      </w:r>
    </w:p>
    <w:p>
      <w:pPr>
        <w:spacing w:after="0" w:line="206" w:lineRule="exact"/>
        <w:rPr>
          <w:rFonts w:ascii="Arial" w:cs="Arial" w:eastAsia="Arial" w:hAnsi="Arial"/>
          <w:sz w:val="18"/>
          <w:szCs w:val="18"/>
          <w:color w:val="auto"/>
        </w:rPr>
      </w:pPr>
    </w:p>
    <w:p>
      <w:pPr>
        <w:jc w:val="both"/>
        <w:ind w:left="660" w:hanging="328"/>
        <w:spacing w:after="0" w:line="256" w:lineRule="auto"/>
        <w:tabs>
          <w:tab w:leader="none" w:pos="647"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(Loss) Per Share. </w:t>
      </w:r>
      <w:r>
        <w:rPr>
          <w:rFonts w:ascii="Arial" w:cs="Arial" w:eastAsia="Arial" w:hAnsi="Arial"/>
          <w:sz w:val="18"/>
          <w:szCs w:val="18"/>
          <w:color w:val="auto"/>
        </w:rPr>
        <w:t>Navan defines non-GAAP income (loss) per share attributable to common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basic, as non-GAAP net income (loss) divided by weighted-average shares outstanding used in computing GAAP net loss per share attributable to common stockholders, basic. Navan defines non-GAAP income (loss) per share attributable to common stockholders, diluted, as non-GAAP net income (loss) divided by weighted-average shares outstanding giving effect to the weighted average of all potentially dilutive common stock equivalents outstanding for the period including options to purchase common stock, restricted stock units, and employee stock purchase rights under our 2025 Employee Stock Purchase Plan. The dilutive effect of outstanding stock awards is reflected in non-GAAP diluted income per share by application of the treasury method.</w:t>
      </w:r>
    </w:p>
    <w:p>
      <w:pPr>
        <w:spacing w:after="0" w:line="209" w:lineRule="exact"/>
        <w:rPr>
          <w:rFonts w:ascii="Arial" w:cs="Arial" w:eastAsia="Arial" w:hAnsi="Arial"/>
          <w:sz w:val="18"/>
          <w:szCs w:val="18"/>
          <w:color w:val="auto"/>
        </w:rPr>
      </w:pPr>
    </w:p>
    <w:p>
      <w:pPr>
        <w:jc w:val="both"/>
        <w:ind w:left="660" w:hanging="328"/>
        <w:spacing w:after="0" w:line="262" w:lineRule="auto"/>
        <w:tabs>
          <w:tab w:leader="none" w:pos="647"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Navan defines free cash flow as GAAP net cash provided by (used in) operating activities reduced by cash used</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investing activities for capitalized software development costs and purchases of property and equipment. We believe that free cash flow is a meaningful indicator of our sources of liquidity and capital requirements that provides information to management and investors in evaluating the cash flow trends of our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Business Metrics: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Booking Volume (GBV)</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&amp; Events, VIP, and Bleisure offerings by our customers. We expand GBV by growing our customer base, managing more business travel spend on our platform, and introducing new offerings to address different types of business travel.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Volume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and the related conference call contain express and implied “forward-looking statements” within the meaning of the Private Securities Litigation Reform Act of 1995, including, but not limited to, statements regarding the performance of Navan’s business, Navan’s financial results, including Navan’s anticipated total revenue, non-GAAP income from operations, and non-GAAP operating margin for the fiscal quarter ending April 30, 2026 and the fiscal year ending January 31, 2027, Navan’s liquidity and capital resources, the size of Navan’s market opportunity, market trends, the company’s business strategy and plans and other non-historical statements. In some cases, you can identify forward-looking statements by terms such as “anticipate,” “believe,” “continue,” “estimate,” “expect,” “intend,” “may,” “plan,” “project,” “will,” or similar expressions. Such statements are subject to risks, uncertainties and other factors that may cause actual results to be materially different from any future results expressed or implied by the forward-looking statements. These include, but are not limited to: Navan’s limited operating history; the growth rate of the markets in which Navan competes; Navan’s ability to effectively manage and sustain its growth; Navan’s ability to compete with existing competitors and new market entrants; Navan’s ability to attract new and retain existing customers, or to renew and expand its relationships with current customers; adverse changes in relationships with third parties on which Navan depends; Navan’s ability to utilize AI successfully in its current and future products; disruptions or other business interruptions that affect the availability of Navan’s platform, including cybersecurity incidents; and general global market, political, economic, and business conditions, including those related to global macroeconomic conditions, actual or perceived instability in the banking sector, supply chain disruptions, a potential recession, inflation, interest rate volatility, and geopolitical uncertainty, including ongoing conflicts around the world. Additional risks and uncertainties that could cause actual outcomes and results to differ materially from those contemplated by the forward-looking statements contained herein are included in the “Risk Factors” and “Management’s Discussion and Analysis of Financial Condition and Results of Operations” sections of Navan’s Quarterly Report on Form 10-Q filed with the Securities and Exchange Commission (SEC) on December 15, 2025, as they may be updated by Navan’s subsequent filings with the SEC, including Navan’s Annual Report on Form 10-K for the fiscal year ended January 31, 2026. Except as required by law, Navan undertakes no obligation, and does not intend, to update these forward-looking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Navan, Inc.:</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Navan (NASDAQ: NAVN) is the global AI-powered business travel and expense platform that makes travel easy for frequent travelers. From finding flights and hotels, to automating expense reconciliation, with 24/7 support along the way, Navan delivers an intuitive experience travelers love and finance teams rely on. See how Navan customers benefit and learn more at </w:t>
      </w:r>
      <w:r>
        <w:rPr>
          <w:rFonts w:ascii="Arial" w:cs="Arial" w:eastAsia="Arial" w:hAnsi="Arial"/>
          <w:sz w:val="18"/>
          <w:szCs w:val="18"/>
          <w:u w:val="single" w:color="auto"/>
          <w:color w:val="3051F2"/>
        </w:rPr>
        <w:t>navan.com</w:t>
      </w:r>
      <w:r>
        <w:rPr>
          <w:rFonts w:ascii="Arial" w:cs="Arial" w:eastAsia="Arial" w:hAnsi="Arial"/>
          <w:sz w:val="18"/>
          <w:szCs w:val="18"/>
          <w:color w:val="auto"/>
          <w:highlight w:val="white"/>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investors@navan.com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press@navan.com</w:t>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30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January 31,</w:t>
            </w:r>
          </w:p>
        </w:tc>
        <w:tc>
          <w:tcPr>
            <w:tcW w:w="520" w:type="dxa"/>
            <w:vAlign w:val="bottom"/>
          </w:tcPr>
          <w:p>
            <w:pPr>
              <w:spacing w:after="0"/>
              <w:rPr>
                <w:sz w:val="17"/>
                <w:szCs w:val="17"/>
                <w:color w:val="auto"/>
              </w:rPr>
            </w:pPr>
          </w:p>
        </w:tc>
        <w:tc>
          <w:tcPr>
            <w:tcW w:w="24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2026</w:t>
            </w:r>
          </w:p>
        </w:tc>
        <w:tc>
          <w:tcPr>
            <w:tcW w:w="8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6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177,918</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131,992</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702,265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536,837</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52,131</w:t>
            </w: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42,748</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201,794</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169,815</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8"/>
              </w:rPr>
              <w:t>125,787</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89,244</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500,471</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367,022</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35,282</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31,602</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151,237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122,386</w:t>
            </w:r>
          </w:p>
        </w:tc>
        <w:tc>
          <w:tcPr>
            <w:tcW w:w="0" w:type="dxa"/>
            <w:vAlign w:val="bottom"/>
          </w:tcPr>
          <w:p>
            <w:pPr>
              <w:spacing w:after="0"/>
              <w:rPr>
                <w:sz w:val="1"/>
                <w:szCs w:val="1"/>
                <w:color w:val="auto"/>
              </w:rPr>
            </w:pPr>
          </w:p>
        </w:tc>
      </w:tr>
      <w:tr>
        <w:trPr>
          <w:trHeight w:val="274"/>
        </w:trPr>
        <w:tc>
          <w:tcPr>
            <w:tcW w:w="51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117,342</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57,106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342,667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218,722</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62,653</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33,346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203,444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133,552</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215,277</w:t>
            </w:r>
          </w:p>
        </w:tc>
        <w:tc>
          <w:tcPr>
            <w:tcW w:w="8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122,054</w:t>
            </w:r>
          </w:p>
        </w:tc>
        <w:tc>
          <w:tcPr>
            <w:tcW w:w="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697,348</w:t>
            </w:r>
          </w:p>
        </w:tc>
        <w:tc>
          <w:tcPr>
            <w:tcW w:w="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474,660</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(196,877)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0" w:type="dxa"/>
            <w:vAlign w:val="bottom"/>
          </w:tcPr>
          <w:p>
            <w:pPr>
              <w:spacing w:after="0"/>
              <w:rPr>
                <w:sz w:val="1"/>
                <w:szCs w:val="1"/>
                <w:color w:val="auto"/>
              </w:rPr>
            </w:pPr>
          </w:p>
        </w:tc>
      </w:tr>
      <w:tr>
        <w:trPr>
          <w:trHeight w:val="274"/>
        </w:trPr>
        <w:tc>
          <w:tcPr>
            <w:tcW w:w="51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(3,789)</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(51,299)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(75,997)</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income (expense), net</w:t>
            </w: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11,118</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17,273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97"/>
        </w:trPr>
        <w:tc>
          <w:tcPr>
            <w:tcW w:w="51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5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(117,978)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fair value adjustments</w:t>
            </w:r>
          </w:p>
        </w:tc>
        <w:tc>
          <w:tcPr>
            <w:tcW w:w="5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(82,161)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(46,547)</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(395,922)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(171,508)</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5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8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(72,761)</w:t>
            </w:r>
          </w:p>
        </w:tc>
        <w:tc>
          <w:tcPr>
            <w:tcW w:w="8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(46,652)</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(398,030)</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(181,078)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16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(0.29)</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(1.03)</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(4.07)</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w:t>
            </w:r>
          </w:p>
        </w:tc>
        <w:tc>
          <w:tcPr>
            <w:tcW w:w="146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248,835,778</w:t>
            </w:r>
          </w:p>
        </w:tc>
        <w:tc>
          <w:tcPr>
            <w:tcW w:w="80" w:type="dxa"/>
            <w:vAlign w:val="bottom"/>
          </w:tcPr>
          <w:p>
            <w:pPr>
              <w:spacing w:after="0"/>
              <w:rPr>
                <w:sz w:val="15"/>
                <w:szCs w:val="15"/>
                <w:color w:val="auto"/>
              </w:rPr>
            </w:pPr>
          </w:p>
        </w:tc>
        <w:tc>
          <w:tcPr>
            <w:tcW w:w="146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45,454,277</w:t>
            </w:r>
          </w:p>
        </w:tc>
        <w:tc>
          <w:tcPr>
            <w:tcW w:w="80" w:type="dxa"/>
            <w:vAlign w:val="bottom"/>
          </w:tcPr>
          <w:p>
            <w:pPr>
              <w:spacing w:after="0"/>
              <w:rPr>
                <w:sz w:val="15"/>
                <w:szCs w:val="15"/>
                <w:color w:val="auto"/>
              </w:rPr>
            </w:pPr>
          </w:p>
        </w:tc>
        <w:tc>
          <w:tcPr>
            <w:tcW w:w="146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97,795,703</w:t>
            </w:r>
          </w:p>
        </w:tc>
        <w:tc>
          <w:tcPr>
            <w:tcW w:w="80" w:type="dxa"/>
            <w:vAlign w:val="bottom"/>
          </w:tcPr>
          <w:p>
            <w:pPr>
              <w:spacing w:after="0"/>
              <w:rPr>
                <w:sz w:val="15"/>
                <w:szCs w:val="15"/>
                <w:color w:val="auto"/>
              </w:rPr>
            </w:pPr>
          </w:p>
        </w:tc>
        <w:tc>
          <w:tcPr>
            <w:tcW w:w="146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45,271,666</w:t>
            </w: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Arial" w:cs="Arial" w:eastAsia="Arial" w:hAnsi="Arial"/>
                <w:sz w:val="18"/>
                <w:szCs w:val="18"/>
                <w:color w:val="auto"/>
              </w:rPr>
              <w:t>per share attributable to common stockholders</w:t>
            </w:r>
          </w:p>
        </w:tc>
        <w:tc>
          <w:tcPr>
            <w:tcW w:w="14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9" w:lineRule="exact"/>
        <w:rPr>
          <w:sz w:val="20"/>
          <w:szCs w:val="20"/>
          <w:color w:val="auto"/>
        </w:rPr>
      </w:pPr>
    </w:p>
    <w:p>
      <w:pPr>
        <w:jc w:val="right"/>
        <w:ind w:right="78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ectPr>
          <w:pgSz w:w="11900" w:h="16838" w:orient="portrait"/>
          <w:cols w:equalWidth="0" w:num="1">
            <w:col w:w="11240"/>
          </w:cols>
          <w:pgMar w:left="320" w:top="944" w:right="339" w:bottom="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Short-term investments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card receivables, net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Contract acquisition costs,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other current assets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 non-current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acquisition costs,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 net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assets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payable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Notes payable, current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lease liabilities, current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Deferred revenue,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current liabilities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notes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Embedded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ABL facility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Warehouse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payable, non-current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r>
      <w:tr>
        <w:trPr>
          <w:trHeight w:val="727"/>
        </w:trPr>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583,516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157,672</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79,647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148,157</w:t>
            </w:r>
          </w:p>
        </w:tc>
      </w:tr>
      <w:tr>
        <w:trPr>
          <w:trHeight w:val="311"/>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156,994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215,941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184,856</w:t>
            </w:r>
          </w:p>
        </w:tc>
      </w:tr>
      <w:tr>
        <w:trPr>
          <w:trHeight w:val="311"/>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206,182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157,755</w:t>
            </w:r>
          </w:p>
        </w:tc>
      </w:tr>
      <w:tr>
        <w:trPr>
          <w:trHeight w:val="311"/>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9,466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4,784</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55,241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35,628</w:t>
            </w:r>
          </w:p>
        </w:tc>
      </w:tr>
      <w:tr>
        <w:trPr>
          <w:trHeight w:val="23"/>
        </w:trPr>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4"/>
        </w:trPr>
        <w:tc>
          <w:tcPr>
            <w:tcW w:w="280" w:type="dxa"/>
            <w:vAlign w:val="bottom"/>
          </w:tcPr>
          <w:p>
            <w:pPr>
              <w:spacing w:after="0"/>
              <w:rPr>
                <w:sz w:val="22"/>
                <w:szCs w:val="22"/>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1,306,987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688,852</w:t>
            </w:r>
          </w:p>
        </w:tc>
      </w:tr>
      <w:tr>
        <w:trPr>
          <w:trHeight w:val="324"/>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4,911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4,766</w:t>
            </w:r>
          </w:p>
        </w:tc>
      </w:tr>
      <w:tr>
        <w:trPr>
          <w:trHeight w:val="311"/>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29,177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16,185</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43,430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48,006</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35,028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29,538</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19,274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55,633</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241,309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219,728</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28,645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21,246</w:t>
            </w:r>
          </w:p>
        </w:tc>
      </w:tr>
      <w:tr>
        <w:trPr>
          <w:trHeight w:val="23"/>
        </w:trPr>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4"/>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1,708,761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1,083,954</w:t>
            </w:r>
          </w:p>
        </w:tc>
      </w:tr>
      <w:tr>
        <w:trPr>
          <w:trHeight w:val="37"/>
        </w:trPr>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13"/>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  65,939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  42,829</w:t>
            </w:r>
          </w:p>
        </w:tc>
      </w:tr>
      <w:tr>
        <w:trPr>
          <w:trHeight w:val="310"/>
        </w:trPr>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197,253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136,798</w:t>
            </w:r>
          </w:p>
        </w:tc>
      </w:tr>
    </w:tbl>
    <w:p>
      <w:pPr>
        <w:spacing w:after="0" w:line="72" w:lineRule="exact"/>
        <w:rPr>
          <w:sz w:val="20"/>
          <w:szCs w:val="20"/>
          <w:color w:val="auto"/>
        </w:rPr>
      </w:pPr>
    </w:p>
    <w:p>
      <w:pPr>
        <w:ind w:left="1900" w:hanging="1076"/>
        <w:spacing w:after="0"/>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175,913</w:t>
      </w:r>
    </w:p>
    <w:p>
      <w:pPr>
        <w:spacing w:after="0" w:line="10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45,000</w:t>
      </w:r>
    </w:p>
    <w:p>
      <w:pPr>
        <w:spacing w:after="0" w:line="10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11,973</w:t>
      </w:r>
      <w:r>
        <w:rPr>
          <w:rFonts w:ascii="Arial" w:cs="Arial" w:eastAsia="Arial" w:hAnsi="Arial"/>
          <w:sz w:val="17"/>
          <w:szCs w:val="17"/>
          <w:color w:val="auto"/>
        </w:rPr>
        <w:t>11,389</w:t>
      </w:r>
    </w:p>
    <w:p>
      <w:pPr>
        <w:spacing w:after="0" w:line="10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45,187</w:t>
      </w:r>
      <w:r>
        <w:rPr>
          <w:rFonts w:ascii="Arial" w:cs="Arial" w:eastAsia="Arial" w:hAnsi="Arial"/>
          <w:sz w:val="17"/>
          <w:szCs w:val="17"/>
          <w:color w:val="auto"/>
        </w:rPr>
        <w:t>34,097</w:t>
      </w:r>
    </w:p>
    <w:p>
      <w:pPr>
        <w:spacing w:after="0" w:line="90" w:lineRule="exact"/>
        <w:rPr>
          <w:sz w:val="20"/>
          <w:szCs w:val="20"/>
          <w:color w:val="auto"/>
        </w:rPr>
      </w:pPr>
    </w:p>
    <w:p>
      <w:pPr>
        <w:ind w:left="480"/>
        <w:spacing w:after="0"/>
        <w:tabs>
          <w:tab w:leader="none" w:pos="1880" w:val="left"/>
        </w:tabs>
        <w:rPr>
          <w:sz w:val="20"/>
          <w:szCs w:val="20"/>
          <w:color w:val="auto"/>
        </w:rPr>
      </w:pPr>
      <w:r>
        <w:rPr>
          <w:rFonts w:ascii="Arial" w:cs="Arial" w:eastAsia="Arial" w:hAnsi="Arial"/>
          <w:sz w:val="18"/>
          <w:szCs w:val="18"/>
          <w:color w:val="auto"/>
        </w:rPr>
        <w:t>320,936</w:t>
      </w:r>
      <w:r>
        <w:rPr>
          <w:sz w:val="20"/>
          <w:szCs w:val="20"/>
          <w:color w:val="auto"/>
        </w:rPr>
        <w:tab/>
      </w:r>
      <w:r>
        <w:rPr>
          <w:rFonts w:ascii="Arial" w:cs="Arial" w:eastAsia="Arial" w:hAnsi="Arial"/>
          <w:sz w:val="18"/>
          <w:szCs w:val="18"/>
          <w:color w:val="auto"/>
        </w:rPr>
        <w:t>446,026</w:t>
      </w:r>
    </w:p>
    <w:p>
      <w:pPr>
        <w:spacing w:after="0" w:line="117"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auto"/>
        </w:rPr>
        <w:t>37,587</w:t>
      </w:r>
      <w:r>
        <w:rPr>
          <w:sz w:val="20"/>
          <w:szCs w:val="20"/>
          <w:color w:val="auto"/>
        </w:rPr>
        <w:tab/>
      </w:r>
      <w:r>
        <w:rPr>
          <w:rFonts w:ascii="Arial" w:cs="Arial" w:eastAsia="Arial" w:hAnsi="Arial"/>
          <w:sz w:val="18"/>
          <w:szCs w:val="18"/>
          <w:color w:val="auto"/>
        </w:rPr>
        <w:t>43,098</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182,394</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59,820</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6,000—</w:t>
      </w:r>
    </w:p>
    <w:p>
      <w:pPr>
        <w:spacing w:after="0" w:line="104" w:lineRule="exact"/>
        <w:rPr>
          <w:sz w:val="20"/>
          <w:szCs w:val="20"/>
          <w:color w:val="auto"/>
        </w:rPr>
      </w:pPr>
    </w:p>
    <w:p>
      <w:pPr>
        <w:ind w:left="480"/>
        <w:spacing w:after="0"/>
        <w:tabs>
          <w:tab w:leader="none" w:pos="1880" w:val="left"/>
        </w:tabs>
        <w:rPr>
          <w:sz w:val="20"/>
          <w:szCs w:val="20"/>
          <w:color w:val="auto"/>
        </w:rPr>
      </w:pPr>
      <w:r>
        <w:rPr>
          <w:rFonts w:ascii="Arial" w:cs="Arial" w:eastAsia="Arial" w:hAnsi="Arial"/>
          <w:sz w:val="18"/>
          <w:szCs w:val="18"/>
          <w:color w:val="auto"/>
        </w:rPr>
        <w:t>118,174</w:t>
      </w:r>
      <w:r>
        <w:rPr>
          <w:sz w:val="20"/>
          <w:szCs w:val="20"/>
          <w:color w:val="auto"/>
        </w:rPr>
        <w:tab/>
      </w:r>
      <w:r>
        <w:rPr>
          <w:rFonts w:ascii="Arial" w:cs="Arial" w:eastAsia="Arial" w:hAnsi="Arial"/>
          <w:sz w:val="18"/>
          <w:szCs w:val="18"/>
          <w:color w:val="auto"/>
        </w:rPr>
        <w:t>214,238</w:t>
      </w:r>
    </w:p>
    <w:p>
      <w:pPr>
        <w:spacing w:after="0" w:line="104" w:lineRule="exact"/>
        <w:rPr>
          <w:sz w:val="20"/>
          <w:szCs w:val="20"/>
          <w:color w:val="auto"/>
        </w:rPr>
      </w:pPr>
    </w:p>
    <w:p>
      <w:pPr>
        <w:ind w:left="2240" w:hanging="1315"/>
        <w:spacing w:after="0"/>
        <w:tabs>
          <w:tab w:leader="none" w:pos="2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394</w:t>
      </w:r>
    </w:p>
    <w:p>
      <w:pPr>
        <w:spacing w:after="0" w:line="10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813</w:t>
      </w:r>
    </w:p>
    <w:p>
      <w:pPr>
        <w:spacing w:after="0" w:line="104"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auto"/>
        </w:rPr>
        <w:t>17,966</w:t>
      </w:r>
      <w:r>
        <w:rPr>
          <w:sz w:val="20"/>
          <w:szCs w:val="20"/>
          <w:color w:val="auto"/>
        </w:rPr>
        <w:tab/>
      </w:r>
      <w:r>
        <w:rPr>
          <w:rFonts w:ascii="Arial" w:cs="Arial" w:eastAsia="Arial" w:hAnsi="Arial"/>
          <w:sz w:val="18"/>
          <w:szCs w:val="18"/>
          <w:color w:val="auto"/>
        </w:rPr>
        <w:t>22,949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1748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7760" w:space="720"/>
            <w:col w:w="2760"/>
          </w:cols>
          <w:pgMar w:left="320" w:top="944" w:right="33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500,700</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969,732</w:t>
            </w:r>
          </w:p>
        </w:tc>
        <w:tc>
          <w:tcPr>
            <w:tcW w:w="0" w:type="dxa"/>
            <w:vAlign w:val="bottom"/>
          </w:tcPr>
          <w:p>
            <w:pPr>
              <w:spacing w:after="0"/>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1,301,121</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stock</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8480" w:type="dxa"/>
            <w:vAlign w:val="bottom"/>
          </w:tcPr>
          <w:p>
            <w:pPr>
              <w:ind w:left="180"/>
              <w:spacing w:after="0"/>
              <w:rPr>
                <w:sz w:val="20"/>
                <w:szCs w:val="20"/>
                <w:color w:val="auto"/>
              </w:rPr>
            </w:pPr>
            <w:r>
              <w:rPr>
                <w:rFonts w:ascii="Arial" w:cs="Arial" w:eastAsia="Arial" w:hAnsi="Arial"/>
                <w:sz w:val="17"/>
                <w:szCs w:val="17"/>
                <w:color w:val="auto"/>
              </w:rPr>
              <w:t>Class A common stock</w:t>
            </w:r>
          </w:p>
        </w:tc>
        <w:tc>
          <w:tcPr>
            <w:tcW w:w="2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Class B common stock</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84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3,226,427</w:t>
            </w:r>
          </w:p>
        </w:tc>
        <w:tc>
          <w:tcPr>
            <w:tcW w:w="8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467,835</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(2,015,143)</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(1,617,113)</w:t>
            </w:r>
          </w:p>
        </w:tc>
        <w:tc>
          <w:tcPr>
            <w:tcW w:w="0" w:type="dxa"/>
            <w:vAlign w:val="bottom"/>
          </w:tcPr>
          <w:p>
            <w:pPr>
              <w:spacing w:after="0"/>
              <w:rPr>
                <w:sz w:val="1"/>
                <w:szCs w:val="1"/>
                <w:color w:val="auto"/>
              </w:rPr>
            </w:pPr>
          </w:p>
        </w:tc>
      </w:tr>
      <w:tr>
        <w:trPr>
          <w:trHeight w:val="287"/>
        </w:trPr>
        <w:tc>
          <w:tcPr>
            <w:tcW w:w="84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(37,622)</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1,208,061</w:t>
            </w:r>
          </w:p>
        </w:tc>
        <w:tc>
          <w:tcPr>
            <w:tcW w:w="8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(1,186,899)</w:t>
            </w:r>
          </w:p>
        </w:tc>
        <w:tc>
          <w:tcPr>
            <w:tcW w:w="0" w:type="dxa"/>
            <w:vAlign w:val="bottom"/>
          </w:tcPr>
          <w:p>
            <w:pPr>
              <w:spacing w:after="0"/>
              <w:rPr>
                <w:sz w:val="1"/>
                <w:szCs w:val="1"/>
                <w:color w:val="auto"/>
              </w:rPr>
            </w:pPr>
          </w:p>
        </w:tc>
      </w:tr>
      <w:tr>
        <w:trPr>
          <w:trHeight w:val="254"/>
        </w:trPr>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1,708,761</w:t>
            </w:r>
          </w:p>
        </w:tc>
        <w:tc>
          <w:tcPr>
            <w:tcW w:w="80" w:type="dxa"/>
            <w:vAlign w:val="bottom"/>
          </w:tcPr>
          <w:p>
            <w:pPr>
              <w:spacing w:after="0"/>
              <w:rPr>
                <w:sz w:val="22"/>
                <w:szCs w:val="22"/>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  1,083,954</w:t>
            </w:r>
          </w:p>
        </w:tc>
        <w:tc>
          <w:tcPr>
            <w:tcW w:w="0" w:type="dxa"/>
            <w:vAlign w:val="bottom"/>
          </w:tcPr>
          <w:p>
            <w:pPr>
              <w:spacing w:after="0"/>
              <w:rPr>
                <w:sz w:val="1"/>
                <w:szCs w:val="1"/>
                <w:color w:val="auto"/>
              </w:rPr>
            </w:pPr>
          </w:p>
        </w:tc>
      </w:tr>
      <w:tr>
        <w:trPr>
          <w:trHeight w:val="36"/>
        </w:trPr>
        <w:tc>
          <w:tcPr>
            <w:tcW w:w="8480" w:type="dxa"/>
            <w:vAlign w:val="bottom"/>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4" w:right="339" w:bottom="0" w:gutter="0" w:footer="0" w:header="0"/>
          <w:type w:val="continuous"/>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86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January 31,</w:t>
            </w:r>
          </w:p>
        </w:tc>
        <w:tc>
          <w:tcPr>
            <w:tcW w:w="248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9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tcPr>
          <w:p>
            <w:pPr>
              <w:jc w:val="right"/>
              <w:spacing w:after="0"/>
              <w:rPr>
                <w:sz w:val="20"/>
                <w:szCs w:val="20"/>
                <w:color w:val="auto"/>
              </w:rPr>
            </w:pPr>
            <w:r>
              <w:rPr>
                <w:rFonts w:ascii="Arial" w:cs="Arial" w:eastAsia="Arial" w:hAnsi="Arial"/>
                <w:sz w:val="18"/>
                <w:szCs w:val="18"/>
                <w:color w:val="auto"/>
              </w:rPr>
              <w:t>$  (72,761)</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(46,652)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(398,030)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(181,078)</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(used in)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00" w:type="dxa"/>
            <w:vAlign w:val="bottom"/>
          </w:tcPr>
          <w:p>
            <w:pPr>
              <w:ind w:left="360"/>
              <w:spacing w:after="0"/>
              <w:rPr>
                <w:sz w:val="20"/>
                <w:szCs w:val="20"/>
                <w:color w:val="auto"/>
              </w:rPr>
            </w:pPr>
            <w:r>
              <w:rPr>
                <w:rFonts w:ascii="Arial" w:cs="Arial" w:eastAsia="Arial" w:hAnsi="Arial"/>
                <w:sz w:val="18"/>
                <w:szCs w:val="18"/>
                <w:color w:val="auto"/>
              </w:rPr>
              <w:t>Stock-based compensation, net of amounts capitalized</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46,998</w:t>
            </w:r>
          </w:p>
        </w:tc>
        <w:tc>
          <w:tcPr>
            <w:tcW w:w="80" w:type="dxa"/>
            <w:vAlign w:val="bottom"/>
          </w:tcPr>
          <w:p>
            <w:pPr>
              <w:spacing w:after="0"/>
              <w:rPr>
                <w:sz w:val="24"/>
                <w:szCs w:val="24"/>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17,494</w:t>
            </w:r>
          </w:p>
        </w:tc>
        <w:tc>
          <w:tcPr>
            <w:tcW w:w="8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182,089</w:t>
            </w:r>
          </w:p>
        </w:tc>
        <w:tc>
          <w:tcPr>
            <w:tcW w:w="8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76,981</w:t>
            </w:r>
          </w:p>
        </w:tc>
        <w:tc>
          <w:tcPr>
            <w:tcW w:w="0" w:type="dxa"/>
            <w:vAlign w:val="bottom"/>
          </w:tcPr>
          <w:p>
            <w:pPr>
              <w:spacing w:after="0"/>
              <w:rPr>
                <w:sz w:val="1"/>
                <w:szCs w:val="1"/>
                <w:color w:val="auto"/>
              </w:rPr>
            </w:pPr>
          </w:p>
        </w:tc>
      </w:tr>
      <w:tr>
        <w:trPr>
          <w:trHeight w:val="27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10,633</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25,724</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46,450</w:t>
            </w:r>
          </w:p>
        </w:tc>
        <w:tc>
          <w:tcPr>
            <w:tcW w:w="0" w:type="dxa"/>
            <w:vAlign w:val="bottom"/>
          </w:tcPr>
          <w:p>
            <w:pPr>
              <w:spacing w:after="0"/>
              <w:rPr>
                <w:sz w:val="1"/>
                <w:szCs w:val="1"/>
                <w:color w:val="auto"/>
              </w:rPr>
            </w:pP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(11,703)</w:t>
            </w:r>
          </w:p>
        </w:tc>
        <w:tc>
          <w:tcPr>
            <w:tcW w:w="8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(11,306)</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42,122</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6,057</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60,247</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24,889</w:t>
            </w:r>
          </w:p>
        </w:tc>
        <w:tc>
          <w:tcPr>
            <w:tcW w:w="0" w:type="dxa"/>
            <w:vAlign w:val="bottom"/>
          </w:tcPr>
          <w:p>
            <w:pPr>
              <w:spacing w:after="0"/>
              <w:rPr>
                <w:sz w:val="1"/>
                <w:szCs w:val="1"/>
                <w:color w:val="auto"/>
              </w:rPr>
            </w:pP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Amortization of contract acquisition costs</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2,126</w:t>
            </w:r>
          </w:p>
        </w:tc>
        <w:tc>
          <w:tcPr>
            <w:tcW w:w="8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6,298</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2,451</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1,473</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9,084</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Loss (gain) on fair value adjustments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(7,799)</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47,041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expensed related to SAFEs</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2,913</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117,978</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75"/>
        </w:trPr>
        <w:tc>
          <w:tcPr>
            <w:tcW w:w="5900" w:type="dxa"/>
            <w:vAlign w:val="bottom"/>
          </w:tcPr>
          <w:p>
            <w:pPr>
              <w:ind w:left="360"/>
              <w:spacing w:after="0" w:line="176" w:lineRule="exact"/>
              <w:rPr>
                <w:sz w:val="20"/>
                <w:szCs w:val="20"/>
                <w:color w:val="auto"/>
              </w:rPr>
            </w:pPr>
            <w:r>
              <w:rPr>
                <w:rFonts w:ascii="Arial" w:cs="Arial" w:eastAsia="Arial" w:hAnsi="Arial"/>
                <w:sz w:val="18"/>
                <w:szCs w:val="18"/>
                <w:color w:val="auto"/>
              </w:rPr>
              <w:t>Changes in operating assets and liabilities, net of effect of business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9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6,813</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74"/>
        </w:trPr>
        <w:tc>
          <w:tcPr>
            <w:tcW w:w="59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4,578</w:t>
            </w:r>
          </w:p>
        </w:tc>
        <w:tc>
          <w:tcPr>
            <w:tcW w:w="8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12,898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(17,712)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Contract acquisition 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(23,972)</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0" w:type="dxa"/>
            <w:vAlign w:val="bottom"/>
          </w:tcPr>
          <w:p>
            <w:pPr>
              <w:spacing w:after="0"/>
              <w:rPr>
                <w:sz w:val="1"/>
                <w:szCs w:val="1"/>
                <w:color w:val="auto"/>
              </w:rPr>
            </w:pPr>
          </w:p>
        </w:tc>
      </w:tr>
      <w:tr>
        <w:trPr>
          <w:trHeight w:val="274"/>
        </w:trPr>
        <w:tc>
          <w:tcPr>
            <w:tcW w:w="5900" w:type="dxa"/>
            <w:vAlign w:val="bottom"/>
          </w:tcPr>
          <w:p>
            <w:pPr>
              <w:ind w:left="600"/>
              <w:spacing w:after="0"/>
              <w:rPr>
                <w:sz w:val="20"/>
                <w:szCs w:val="20"/>
                <w:color w:val="auto"/>
              </w:rPr>
            </w:pPr>
            <w:r>
              <w:rPr>
                <w:rFonts w:ascii="Arial" w:cs="Arial" w:eastAsia="Arial" w:hAnsi="Arial"/>
                <w:sz w:val="18"/>
                <w:szCs w:val="18"/>
                <w:color w:val="auto"/>
              </w:rPr>
              <w:t>Other non-current assets</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3,082</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17,093</w:t>
            </w:r>
          </w:p>
        </w:tc>
        <w:tc>
          <w:tcPr>
            <w:tcW w:w="0" w:type="dxa"/>
            <w:vAlign w:val="bottom"/>
          </w:tcPr>
          <w:p>
            <w:pPr>
              <w:spacing w:after="0"/>
              <w:rPr>
                <w:sz w:val="1"/>
                <w:szCs w:val="1"/>
                <w:color w:val="auto"/>
              </w:rPr>
            </w:pPr>
          </w:p>
        </w:tc>
      </w:tr>
      <w:tr>
        <w:trPr>
          <w:trHeight w:val="274"/>
        </w:trPr>
        <w:tc>
          <w:tcPr>
            <w:tcW w:w="5900" w:type="dxa"/>
            <w:vAlign w:val="bottom"/>
          </w:tcPr>
          <w:p>
            <w:pPr>
              <w:ind w:left="560"/>
              <w:spacing w:after="0"/>
              <w:rPr>
                <w:sz w:val="20"/>
                <w:szCs w:val="20"/>
                <w:color w:val="auto"/>
              </w:rPr>
            </w:pPr>
            <w:r>
              <w:rPr>
                <w:rFonts w:ascii="Arial" w:cs="Arial" w:eastAsia="Arial" w:hAnsi="Arial"/>
                <w:sz w:val="18"/>
                <w:szCs w:val="18"/>
                <w:color w:val="auto"/>
              </w:rPr>
              <w:t>Accrued expenses and other current liabilities</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21,227</w:t>
            </w:r>
          </w:p>
        </w:tc>
        <w:tc>
          <w:tcPr>
            <w:tcW w:w="8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9,108</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45,896</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6,459</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5,382</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9,992</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16"/>
        </w:trPr>
        <w:tc>
          <w:tcPr>
            <w:tcW w:w="5900" w:type="dxa"/>
            <w:vAlign w:val="bottom"/>
          </w:tcPr>
          <w:p>
            <w:pPr>
              <w:ind w:left="600"/>
              <w:spacing w:after="0"/>
              <w:rPr>
                <w:sz w:val="20"/>
                <w:szCs w:val="20"/>
                <w:color w:val="auto"/>
              </w:rPr>
            </w:pPr>
            <w:r>
              <w:rPr>
                <w:rFonts w:ascii="Arial" w:cs="Arial" w:eastAsia="Arial" w:hAnsi="Arial"/>
                <w:sz w:val="18"/>
                <w:szCs w:val="18"/>
                <w:color w:val="auto"/>
              </w:rPr>
              <w:t>Operating lease right-of-use asset and operating lease liabilities,</w:t>
            </w:r>
          </w:p>
        </w:tc>
        <w:tc>
          <w:tcPr>
            <w:tcW w:w="1380" w:type="dxa"/>
            <w:vAlign w:val="bottom"/>
            <w:vMerge w:val="restart"/>
          </w:tcPr>
          <w:p>
            <w:pPr>
              <w:jc w:val="right"/>
              <w:ind w:right="131"/>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48"/>
        </w:trPr>
        <w:tc>
          <w:tcPr>
            <w:tcW w:w="5900" w:type="dxa"/>
            <w:vAlign w:val="bottom"/>
          </w:tcPr>
          <w:p>
            <w:pPr>
              <w:ind w:left="840"/>
              <w:spacing w:after="0"/>
              <w:rPr>
                <w:sz w:val="20"/>
                <w:szCs w:val="20"/>
                <w:color w:val="auto"/>
              </w:rPr>
            </w:pPr>
            <w:r>
              <w:rPr>
                <w:rFonts w:ascii="Arial" w:cs="Arial" w:eastAsia="Arial" w:hAnsi="Arial"/>
                <w:sz w:val="18"/>
                <w:szCs w:val="18"/>
                <w:color w:val="auto"/>
              </w:rPr>
              <w:t>net</w:t>
            </w:r>
          </w:p>
        </w:tc>
        <w:tc>
          <w:tcPr>
            <w:tcW w:w="13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898</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1,641</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9"/>
        </w:trPr>
        <w:tc>
          <w:tcPr>
            <w:tcW w:w="59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(used in) operating activities</w:t>
            </w:r>
          </w:p>
        </w:tc>
        <w:tc>
          <w:tcPr>
            <w:tcW w:w="13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34,982</w:t>
            </w:r>
          </w:p>
        </w:tc>
        <w:tc>
          <w:tcPr>
            <w:tcW w:w="8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w:t>
            </w:r>
          </w:p>
        </w:tc>
        <w:tc>
          <w:tcPr>
            <w:tcW w:w="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33,671</w:t>
            </w:r>
          </w:p>
        </w:tc>
        <w:tc>
          <w:tcPr>
            <w:tcW w:w="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(50,406)</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(4,918)</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(17,990)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(15,309)</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97"/>
        </w:trPr>
        <w:tc>
          <w:tcPr>
            <w:tcW w:w="590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(156,290)</w:t>
            </w:r>
          </w:p>
        </w:tc>
        <w:tc>
          <w:tcPr>
            <w:tcW w:w="8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(156,290)</w:t>
            </w:r>
          </w:p>
        </w:tc>
        <w:tc>
          <w:tcPr>
            <w:tcW w:w="8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corporate card receivables</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8,052</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45,926</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65,052</w:t>
            </w:r>
          </w:p>
        </w:tc>
        <w:tc>
          <w:tcPr>
            <w:tcW w:w="0" w:type="dxa"/>
            <w:vAlign w:val="bottom"/>
          </w:tcPr>
          <w:p>
            <w:pPr>
              <w:spacing w:after="0"/>
              <w:rPr>
                <w:sz w:val="1"/>
                <w:szCs w:val="1"/>
                <w:color w:val="auto"/>
              </w:rPr>
            </w:pPr>
          </w:p>
        </w:tc>
      </w:tr>
      <w:tr>
        <w:trPr>
          <w:trHeight w:val="297"/>
        </w:trPr>
        <w:tc>
          <w:tcPr>
            <w:tcW w:w="5900" w:type="dxa"/>
            <w:vAlign w:val="bottom"/>
          </w:tcPr>
          <w:p>
            <w:pPr>
              <w:ind w:left="360"/>
              <w:spacing w:after="0"/>
              <w:rPr>
                <w:sz w:val="20"/>
                <w:szCs w:val="20"/>
                <w:color w:val="auto"/>
              </w:rPr>
            </w:pPr>
            <w:r>
              <w:rPr>
                <w:rFonts w:ascii="Arial" w:cs="Arial" w:eastAsia="Arial" w:hAnsi="Arial"/>
                <w:sz w:val="18"/>
                <w:szCs w:val="18"/>
                <w:color w:val="auto"/>
              </w:rPr>
              <w:t>Cash consideration for business acquisition, net of cash acquired</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9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in) provided by investing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(153,484)</w:t>
            </w:r>
          </w:p>
        </w:tc>
        <w:tc>
          <w:tcPr>
            <w:tcW w:w="8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41,964</w:t>
            </w:r>
          </w:p>
        </w:tc>
        <w:tc>
          <w:tcPr>
            <w:tcW w:w="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(203,032)</w:t>
            </w:r>
          </w:p>
        </w:tc>
        <w:tc>
          <w:tcPr>
            <w:tcW w:w="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44,870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90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3"/>
                <w:szCs w:val="23"/>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23,893</w:t>
            </w:r>
          </w:p>
        </w:tc>
        <w:tc>
          <w:tcPr>
            <w:tcW w:w="8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borrowings of debt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1,387</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216,482</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86,187</w:t>
            </w:r>
          </w:p>
        </w:tc>
        <w:tc>
          <w:tcPr>
            <w:tcW w:w="0" w:type="dxa"/>
            <w:vAlign w:val="bottom"/>
          </w:tcPr>
          <w:p>
            <w:pPr>
              <w:spacing w:after="0"/>
              <w:rPr>
                <w:sz w:val="1"/>
                <w:szCs w:val="1"/>
                <w:color w:val="auto"/>
              </w:rPr>
            </w:pPr>
          </w:p>
        </w:tc>
      </w:tr>
      <w:tr>
        <w:trPr>
          <w:trHeight w:val="287"/>
        </w:trPr>
        <w:tc>
          <w:tcPr>
            <w:tcW w:w="5900" w:type="dxa"/>
            <w:vAlign w:val="bottom"/>
          </w:tcPr>
          <w:p>
            <w:pPr>
              <w:ind w:left="360"/>
              <w:spacing w:after="0"/>
              <w:rPr>
                <w:sz w:val="20"/>
                <w:szCs w:val="20"/>
                <w:color w:val="auto"/>
              </w:rPr>
            </w:pPr>
            <w:r>
              <w:rPr>
                <w:rFonts w:ascii="Arial" w:cs="Arial" w:eastAsia="Arial" w:hAnsi="Arial"/>
                <w:sz w:val="18"/>
                <w:szCs w:val="18"/>
                <w:color w:val="auto"/>
              </w:rPr>
              <w:t>Proceeds from issuance of SAFEs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155,000</w:t>
            </w:r>
          </w:p>
        </w:tc>
        <w:tc>
          <w:tcPr>
            <w:tcW w:w="8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of borrowings of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(82,387)</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(550,511)</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(35,758)</w:t>
            </w:r>
          </w:p>
        </w:tc>
        <w:tc>
          <w:tcPr>
            <w:tcW w:w="0" w:type="dxa"/>
            <w:vAlign w:val="bottom"/>
          </w:tcPr>
          <w:p>
            <w:pPr>
              <w:spacing w:after="0"/>
              <w:rPr>
                <w:sz w:val="1"/>
                <w:szCs w:val="1"/>
                <w:color w:val="auto"/>
              </w:rPr>
            </w:pPr>
          </w:p>
        </w:tc>
      </w:tr>
      <w:tr>
        <w:trPr>
          <w:trHeight w:val="287"/>
        </w:trPr>
        <w:tc>
          <w:tcPr>
            <w:tcW w:w="5900" w:type="dxa"/>
            <w:vAlign w:val="bottom"/>
          </w:tcPr>
          <w:p>
            <w:pPr>
              <w:ind w:left="20"/>
              <w:spacing w:after="0"/>
              <w:rPr>
                <w:sz w:val="20"/>
                <w:szCs w:val="20"/>
                <w:color w:val="auto"/>
              </w:rPr>
            </w:pPr>
            <w:r>
              <w:rPr>
                <w:rFonts w:ascii="Arial" w:cs="Arial" w:eastAsia="Arial" w:hAnsi="Arial"/>
                <w:sz w:val="18"/>
                <w:szCs w:val="18"/>
                <w:color w:val="auto"/>
              </w:rPr>
              <w:t>Payments for debt issuance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(11,151)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 of deferred offering 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5900" w:type="dxa"/>
            <w:vAlign w:val="bottom"/>
          </w:tcPr>
          <w:p>
            <w:pPr>
              <w:ind w:left="360"/>
              <w:spacing w:after="0"/>
              <w:rPr>
                <w:sz w:val="20"/>
                <w:szCs w:val="20"/>
                <w:color w:val="auto"/>
              </w:rPr>
            </w:pPr>
            <w:r>
              <w:rPr>
                <w:rFonts w:ascii="Arial" w:cs="Arial" w:eastAsia="Arial" w:hAnsi="Arial"/>
                <w:sz w:val="18"/>
                <w:szCs w:val="18"/>
                <w:color w:val="auto"/>
              </w:rPr>
              <w:t>Payment of deferred consideration in business combinations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4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IPO, net of underwriting</w:t>
            </w:r>
          </w:p>
        </w:tc>
        <w:tc>
          <w:tcPr>
            <w:tcW w:w="4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713,302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costs</w:t>
            </w:r>
          </w:p>
        </w:tc>
        <w:tc>
          <w:tcPr>
            <w:tcW w:w="420" w:type="dxa"/>
            <w:vAlign w:val="bottom"/>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900" w:type="dxa"/>
            <w:vAlign w:val="bottom"/>
          </w:tcPr>
          <w:p>
            <w:pPr>
              <w:ind w:left="360"/>
              <w:spacing w:after="0"/>
              <w:rPr>
                <w:sz w:val="20"/>
                <w:szCs w:val="20"/>
                <w:color w:val="auto"/>
              </w:rPr>
            </w:pPr>
            <w:r>
              <w:rPr>
                <w:rFonts w:ascii="Arial" w:cs="Arial" w:eastAsia="Arial" w:hAnsi="Arial"/>
                <w:sz w:val="18"/>
                <w:szCs w:val="18"/>
                <w:color w:val="auto"/>
              </w:rPr>
              <w:t>Taxes collected from selling shareholders stock option exercises</w:t>
            </w:r>
          </w:p>
        </w:tc>
        <w:tc>
          <w:tcPr>
            <w:tcW w:w="42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15,556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 remitted for selling shareholders stock option exercises</w:t>
            </w: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5900" w:type="dxa"/>
            <w:vAlign w:val="bottom"/>
          </w:tcPr>
          <w:p>
            <w:pPr>
              <w:ind w:left="360"/>
              <w:spacing w:after="0"/>
              <w:rPr>
                <w:sz w:val="20"/>
                <w:szCs w:val="20"/>
                <w:color w:val="auto"/>
              </w:rPr>
            </w:pPr>
            <w:r>
              <w:rPr>
                <w:rFonts w:ascii="Arial" w:cs="Arial" w:eastAsia="Arial" w:hAnsi="Arial"/>
                <w:sz w:val="18"/>
                <w:szCs w:val="18"/>
                <w:color w:val="auto"/>
              </w:rPr>
              <w:t>Payment of tax withholdings on settlement of RSUs</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(9,395)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exercise of warrants</w:t>
            </w: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59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(110,706)</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(25,132)</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519,919</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52,554</w:t>
            </w:r>
          </w:p>
        </w:tc>
        <w:tc>
          <w:tcPr>
            <w:tcW w:w="0" w:type="dxa"/>
            <w:vAlign w:val="bottom"/>
          </w:tcPr>
          <w:p>
            <w:pPr>
              <w:spacing w:after="0"/>
              <w:rPr>
                <w:sz w:val="1"/>
                <w:szCs w:val="1"/>
                <w:color w:val="auto"/>
              </w:rPr>
            </w:pPr>
          </w:p>
        </w:tc>
      </w:tr>
      <w:tr>
        <w:trPr>
          <w:trHeight w:val="187"/>
        </w:trPr>
        <w:tc>
          <w:tcPr>
            <w:tcW w:w="5900" w:type="dxa"/>
            <w:vAlign w:val="bottom"/>
            <w:shd w:val="clear" w:color="auto" w:fill="CCEEFF"/>
          </w:tcPr>
          <w:p>
            <w:pPr>
              <w:ind w:left="840"/>
              <w:spacing w:after="0" w:line="188" w:lineRule="exact"/>
              <w:rPr>
                <w:sz w:val="20"/>
                <w:szCs w:val="20"/>
                <w:color w:val="auto"/>
              </w:rPr>
            </w:pPr>
            <w:r>
              <w:rPr>
                <w:rFonts w:ascii="Arial" w:cs="Arial" w:eastAsia="Arial" w:hAnsi="Arial"/>
                <w:sz w:val="18"/>
                <w:szCs w:val="18"/>
                <w:color w:val="auto"/>
              </w:rPr>
              <w:t>Effect of exchange rate changes on cash, cash equivalents</w:t>
            </w:r>
          </w:p>
        </w:tc>
        <w:tc>
          <w:tcPr>
            <w:tcW w:w="4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6,921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and restricted cash</w:t>
            </w:r>
          </w:p>
        </w:tc>
        <w:tc>
          <w:tcPr>
            <w:tcW w:w="42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40"/>
              <w:spacing w:after="0"/>
              <w:rPr>
                <w:sz w:val="20"/>
                <w:szCs w:val="20"/>
                <w:color w:val="auto"/>
              </w:rPr>
            </w:pPr>
            <w:r>
              <w:rPr>
                <w:rFonts w:ascii="Arial" w:cs="Arial" w:eastAsia="Arial" w:hAnsi="Arial"/>
                <w:sz w:val="18"/>
                <w:szCs w:val="18"/>
                <w:color w:val="auto"/>
              </w:rPr>
              <w:t>Net increase (decrease) in cash, cash equivalents and</w:t>
            </w:r>
          </w:p>
        </w:tc>
        <w:tc>
          <w:tcPr>
            <w:tcW w:w="4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(227,180)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4,705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357,479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43,213</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895,254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305,890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310,595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267,382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668,074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310,595</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668,074</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310,595</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9"/>
          </w:tcPr>
          <w:p>
            <w:pPr>
              <w:ind w:left="280"/>
              <w:spacing w:after="0"/>
              <w:rPr>
                <w:sz w:val="20"/>
                <w:szCs w:val="20"/>
                <w:color w:val="auto"/>
              </w:rPr>
            </w:pPr>
            <w:r>
              <w:rPr>
                <w:rFonts w:ascii="Arial" w:cs="Arial" w:eastAsia="Arial" w:hAnsi="Arial"/>
                <w:sz w:val="14"/>
                <w:szCs w:val="14"/>
                <w:b w:val="1"/>
                <w:bCs w:val="1"/>
                <w:color w:val="auto"/>
              </w:rPr>
              <w:t>Three Months Ended January 31,</w:t>
            </w:r>
          </w:p>
        </w:tc>
        <w:tc>
          <w:tcPr>
            <w:tcW w:w="480" w:type="dxa"/>
            <w:vAlign w:val="bottom"/>
          </w:tcPr>
          <w:p>
            <w:pPr>
              <w:spacing w:after="0"/>
              <w:rPr>
                <w:sz w:val="17"/>
                <w:szCs w:val="17"/>
                <w:color w:val="auto"/>
              </w:rPr>
            </w:pPr>
          </w:p>
        </w:tc>
        <w:tc>
          <w:tcPr>
            <w:tcW w:w="1900" w:type="dxa"/>
            <w:vAlign w:val="bottom"/>
            <w:gridSpan w:val="5"/>
            <w:vMerge w:val="restart"/>
          </w:tcPr>
          <w:p>
            <w:pPr>
              <w:jc w:val="right"/>
              <w:ind w:right="95"/>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5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5"/>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2025</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5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gridSpan w:val="4"/>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gridSpan w:val="6"/>
          </w:tcPr>
          <w:p>
            <w:pPr>
              <w:jc w:val="right"/>
              <w:ind w:right="138"/>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4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125,787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89,244</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500,471</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367,022</w:t>
            </w:r>
          </w:p>
        </w:tc>
        <w:tc>
          <w:tcPr>
            <w:tcW w:w="0" w:type="dxa"/>
            <w:vAlign w:val="bottom"/>
          </w:tcPr>
          <w:p>
            <w:pPr>
              <w:spacing w:after="0"/>
              <w:rPr>
                <w:sz w:val="1"/>
                <w:szCs w:val="1"/>
                <w:color w:val="auto"/>
              </w:rPr>
            </w:pPr>
          </w:p>
        </w:tc>
      </w:tr>
      <w:tr>
        <w:trPr>
          <w:trHeight w:val="63"/>
        </w:trPr>
        <w:tc>
          <w:tcPr>
            <w:tcW w:w="5540" w:type="dxa"/>
            <w:vAlign w:val="bottom"/>
            <w:gridSpan w:val="2"/>
            <w:vMerge w:val="continue"/>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5540" w:type="dxa"/>
            <w:vAlign w:val="bottom"/>
            <w:gridSpan w:val="2"/>
            <w:vMerge w:val="restart"/>
          </w:tcPr>
          <w:p>
            <w:pPr>
              <w:ind w:left="20"/>
              <w:spacing w:after="0"/>
              <w:rPr>
                <w:sz w:val="20"/>
                <w:szCs w:val="20"/>
                <w:color w:val="auto"/>
              </w:rPr>
            </w:pPr>
            <w:r>
              <w:rPr>
                <w:rFonts w:ascii="Arial" w:cs="Arial" w:eastAsia="Arial" w:hAnsi="Arial"/>
                <w:sz w:val="18"/>
                <w:szCs w:val="18"/>
                <w:color w:val="auto"/>
              </w:rPr>
              <w:t>GAAP gross margin</w:t>
            </w:r>
          </w:p>
        </w:tc>
        <w:tc>
          <w:tcPr>
            <w:tcW w:w="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55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compensation-related charges</w:t>
            </w:r>
          </w:p>
        </w:tc>
        <w:tc>
          <w:tcPr>
            <w:tcW w:w="4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10,476</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88"/>
        </w:trPr>
        <w:tc>
          <w:tcPr>
            <w:tcW w:w="5540" w:type="dxa"/>
            <w:vAlign w:val="bottom"/>
            <w:gridSpan w:val="2"/>
            <w:vMerge w:val="restart"/>
          </w:tcPr>
          <w:p>
            <w:pPr>
              <w:ind w:left="2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256</w:t>
            </w:r>
          </w:p>
        </w:tc>
        <w:tc>
          <w:tcPr>
            <w:tcW w:w="0" w:type="dxa"/>
            <w:vAlign w:val="bottom"/>
          </w:tcPr>
          <w:p>
            <w:pPr>
              <w:spacing w:after="0"/>
              <w:rPr>
                <w:sz w:val="1"/>
                <w:szCs w:val="1"/>
                <w:color w:val="auto"/>
              </w:rPr>
            </w:pPr>
          </w:p>
        </w:tc>
      </w:tr>
      <w:tr>
        <w:trPr>
          <w:trHeight w:val="77"/>
        </w:trPr>
        <w:tc>
          <w:tcPr>
            <w:tcW w:w="55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4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25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1"/>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Non-GAAP gross profit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127,546</w:t>
            </w:r>
          </w:p>
        </w:tc>
        <w:tc>
          <w:tcPr>
            <w:tcW w:w="8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90,360</w:t>
            </w: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511,057</w:t>
            </w:r>
          </w:p>
        </w:tc>
        <w:tc>
          <w:tcPr>
            <w:tcW w:w="8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371,855</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4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69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9"/>
          </w:tcPr>
          <w:p>
            <w:pPr>
              <w:ind w:left="220"/>
              <w:spacing w:after="0"/>
              <w:rPr>
                <w:sz w:val="20"/>
                <w:szCs w:val="20"/>
                <w:color w:val="auto"/>
              </w:rPr>
            </w:pPr>
            <w:r>
              <w:rPr>
                <w:rFonts w:ascii="Arial" w:cs="Arial" w:eastAsia="Arial" w:hAnsi="Arial"/>
                <w:sz w:val="14"/>
                <w:szCs w:val="14"/>
                <w:b w:val="1"/>
                <w:bCs w:val="1"/>
                <w:color w:val="auto"/>
              </w:rPr>
              <w:t>Three Months Ended January 31,</w:t>
            </w:r>
          </w:p>
        </w:tc>
        <w:tc>
          <w:tcPr>
            <w:tcW w:w="480" w:type="dxa"/>
            <w:vAlign w:val="bottom"/>
          </w:tcPr>
          <w:p>
            <w:pPr>
              <w:spacing w:after="0"/>
              <w:rPr>
                <w:sz w:val="24"/>
                <w:szCs w:val="24"/>
                <w:color w:val="auto"/>
              </w:rPr>
            </w:pPr>
          </w:p>
        </w:tc>
        <w:tc>
          <w:tcPr>
            <w:tcW w:w="1900" w:type="dxa"/>
            <w:vAlign w:val="bottom"/>
            <w:gridSpan w:val="5"/>
          </w:tcPr>
          <w:p>
            <w:pPr>
              <w:jc w:val="right"/>
              <w:ind w:right="95"/>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4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4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gridSpan w:val="4"/>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8"/>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 loss from operations</w:t>
      </w:r>
    </w:p>
    <w:p>
      <w:pPr>
        <w:spacing w:after="0" w:line="225" w:lineRule="exact"/>
        <w:rPr>
          <w:sz w:val="20"/>
          <w:szCs w:val="20"/>
          <w:color w:val="auto"/>
        </w:rPr>
      </w:pPr>
    </w:p>
    <w:p>
      <w:pPr>
        <w:ind w:left="20" w:right="1580"/>
        <w:spacing w:after="0" w:line="381" w:lineRule="auto"/>
        <w:rPr>
          <w:sz w:val="20"/>
          <w:szCs w:val="20"/>
          <w:color w:val="auto"/>
        </w:rPr>
      </w:pPr>
      <w:r>
        <w:rPr>
          <w:rFonts w:ascii="Arial" w:cs="Arial" w:eastAsia="Arial" w:hAnsi="Arial"/>
          <w:sz w:val="18"/>
          <w:szCs w:val="18"/>
          <w:color w:val="auto"/>
        </w:rPr>
        <w:t>GAAP operating margin Stock-based compensation-related charges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 assets</w:t>
      </w:r>
    </w:p>
    <w:p>
      <w:pPr>
        <w:spacing w:after="0" w:line="225" w:lineRule="exact"/>
        <w:rPr>
          <w:sz w:val="20"/>
          <w:szCs w:val="20"/>
          <w:color w:val="auto"/>
        </w:rPr>
      </w:pPr>
    </w:p>
    <w:p>
      <w:pPr>
        <w:ind w:left="20" w:right="620"/>
        <w:spacing w:after="0" w:line="381" w:lineRule="auto"/>
        <w:rPr>
          <w:sz w:val="20"/>
          <w:szCs w:val="20"/>
          <w:color w:val="auto"/>
        </w:rPr>
      </w:pPr>
      <w:r>
        <w:rPr>
          <w:rFonts w:ascii="Arial" w:cs="Arial" w:eastAsia="Arial" w:hAnsi="Arial"/>
          <w:sz w:val="18"/>
          <w:szCs w:val="18"/>
          <w:color w:val="auto"/>
        </w:rPr>
        <w:t>Accelerated amortization of trade name intangible asset Severance and executive transition costs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costs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  (89,490)</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  (32,810)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  (196,877)</w:t>
            </w:r>
          </w:p>
        </w:tc>
        <w:tc>
          <w:tcPr>
            <w:tcW w:w="1240" w:type="dxa"/>
            <w:vAlign w:val="bottom"/>
          </w:tcPr>
          <w:p>
            <w:pPr>
              <w:jc w:val="right"/>
              <w:spacing w:after="0"/>
              <w:rPr>
                <w:sz w:val="20"/>
                <w:szCs w:val="20"/>
                <w:color w:val="auto"/>
              </w:rPr>
            </w:pPr>
            <w:r>
              <w:rPr>
                <w:rFonts w:ascii="Arial" w:cs="Arial" w:eastAsia="Arial" w:hAnsi="Arial"/>
                <w:sz w:val="18"/>
                <w:szCs w:val="18"/>
                <w:color w:val="auto"/>
              </w:rPr>
              <w:t>$  (107,638)</w:t>
            </w:r>
          </w:p>
        </w:tc>
      </w:tr>
      <w:tr>
        <w:trPr>
          <w:trHeight w:val="365"/>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(50)  %</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(25)  %</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(28)  %</w:t>
            </w: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365"/>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44,693</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17,511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184,653</w:t>
            </w:r>
          </w:p>
        </w:tc>
        <w:tc>
          <w:tcPr>
            <w:tcW w:w="1240" w:type="dxa"/>
            <w:vAlign w:val="bottom"/>
          </w:tcPr>
          <w:p>
            <w:pPr>
              <w:jc w:val="right"/>
              <w:spacing w:after="0"/>
              <w:rPr>
                <w:sz w:val="20"/>
                <w:szCs w:val="20"/>
                <w:color w:val="auto"/>
              </w:rPr>
            </w:pPr>
            <w:r>
              <w:rPr>
                <w:rFonts w:ascii="Arial" w:cs="Arial" w:eastAsia="Arial" w:hAnsi="Arial"/>
                <w:sz w:val="18"/>
                <w:szCs w:val="18"/>
                <w:color w:val="auto"/>
              </w:rPr>
              <w:t>77,379</w:t>
            </w:r>
          </w:p>
        </w:tc>
      </w:tr>
      <w:tr>
        <w:trPr>
          <w:trHeight w:val="364"/>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1,294</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1,276</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5,213</w:t>
            </w:r>
          </w:p>
        </w:tc>
        <w:tc>
          <w:tcPr>
            <w:tcW w:w="1240" w:type="dxa"/>
            <w:vAlign w:val="bottom"/>
          </w:tcPr>
          <w:p>
            <w:pPr>
              <w:jc w:val="right"/>
              <w:spacing w:after="0"/>
              <w:rPr>
                <w:sz w:val="20"/>
                <w:szCs w:val="20"/>
                <w:color w:val="auto"/>
              </w:rPr>
            </w:pPr>
            <w:r>
              <w:rPr>
                <w:rFonts w:ascii="Arial" w:cs="Arial" w:eastAsia="Arial" w:hAnsi="Arial"/>
                <w:sz w:val="18"/>
                <w:szCs w:val="18"/>
                <w:color w:val="auto"/>
              </w:rPr>
              <w:t>5,217</w:t>
            </w:r>
          </w:p>
        </w:tc>
      </w:tr>
      <w:tr>
        <w:trPr>
          <w:trHeight w:val="365"/>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36,160</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36,160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6,661</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6,661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200" w:type="dxa"/>
            <w:vAlign w:val="bottom"/>
          </w:tcPr>
          <w:p>
            <w:pPr>
              <w:jc w:val="right"/>
              <w:ind w:right="150"/>
              <w:spacing w:after="0"/>
              <w:rPr>
                <w:sz w:val="20"/>
                <w:szCs w:val="20"/>
                <w:color w:val="auto"/>
              </w:rPr>
            </w:pPr>
            <w:r>
              <w:rPr>
                <w:rFonts w:ascii="Arial" w:cs="Arial" w:eastAsia="Arial" w:hAnsi="Arial"/>
                <w:sz w:val="18"/>
                <w:szCs w:val="18"/>
                <w:color w:val="auto"/>
              </w:rPr>
              <w:t>1,471</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1,471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-1116330</wp:posOffset>
            </wp:positionV>
            <wp:extent cx="713232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-653415</wp:posOffset>
            </wp:positionV>
            <wp:extent cx="713232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-190500</wp:posOffset>
            </wp:positionV>
            <wp:extent cx="71323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080" w:space="720"/>
            <w:col w:w="5440"/>
          </w:cols>
          <w:pgMar w:left="320" w:top="946"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548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789</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(14,023)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37,281</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(25,042)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margin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r>
    </w:tbl>
    <w:p>
      <w:pPr>
        <w:sectPr>
          <w:pgSz w:w="11900" w:h="16838" w:orient="portrait"/>
          <w:cols w:equalWidth="0" w:num="1">
            <w:col w:w="11240"/>
          </w:cols>
          <w:pgMar w:left="320" w:top="94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Net Income (Loss) and Non-GAAP Net Income (Loss) Per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January 31,</w:t>
            </w:r>
          </w:p>
        </w:tc>
        <w:tc>
          <w:tcPr>
            <w:tcW w:w="460" w:type="dxa"/>
            <w:vAlign w:val="bottom"/>
          </w:tcPr>
          <w:p>
            <w:pPr>
              <w:spacing w:after="0"/>
              <w:rPr>
                <w:sz w:val="17"/>
                <w:szCs w:val="17"/>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p>
        </w:tc>
        <w:tc>
          <w:tcPr>
            <w:tcW w:w="1440" w:type="dxa"/>
            <w:vAlign w:val="bottom"/>
            <w:tcBorders>
              <w:top w:val="single" w:sz="8" w:color="auto"/>
            </w:tcBorders>
            <w:gridSpan w:val="3"/>
            <w:vMerge w:val="restart"/>
          </w:tcPr>
          <w:p>
            <w:pPr>
              <w:ind w:left="56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vMerge w:val="restart"/>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55"/>
        </w:trPr>
        <w:tc>
          <w:tcPr>
            <w:tcW w:w="5460" w:type="dxa"/>
            <w:vAlign w:val="bottom"/>
          </w:tcPr>
          <w:p>
            <w:pPr>
              <w:spacing w:after="0"/>
              <w:rPr>
                <w:sz w:val="4"/>
                <w:szCs w:val="4"/>
                <w:color w:val="auto"/>
              </w:rPr>
            </w:pPr>
          </w:p>
        </w:tc>
        <w:tc>
          <w:tcPr>
            <w:tcW w:w="1440" w:type="dxa"/>
            <w:vAlign w:val="bottom"/>
            <w:tcBorders>
              <w:bottom w:val="single" w:sz="8" w:color="auto"/>
            </w:tcBorders>
            <w:gridSpan w:val="3"/>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10"/>
          </w:tcPr>
          <w:p>
            <w:pPr>
              <w:jc w:val="right"/>
              <w:ind w:right="332"/>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(72,761)</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(46,652)</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(398,030)</w:t>
            </w: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0" w:type="dxa"/>
            <w:vAlign w:val="bottom"/>
          </w:tcPr>
          <w:p>
            <w:pPr>
              <w:spacing w:after="0"/>
              <w:rPr>
                <w:sz w:val="1"/>
                <w:szCs w:val="1"/>
                <w:color w:val="auto"/>
              </w:rPr>
            </w:pPr>
          </w:p>
        </w:tc>
      </w:tr>
      <w:tr>
        <w:trPr>
          <w:trHeight w:val="63"/>
        </w:trPr>
        <w:tc>
          <w:tcPr>
            <w:tcW w:w="5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8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5460" w:type="dxa"/>
            <w:vAlign w:val="bottom"/>
          </w:tcPr>
          <w:p>
            <w:pPr>
              <w:ind w:left="20"/>
              <w:spacing w:after="0"/>
              <w:rPr>
                <w:sz w:val="20"/>
                <w:szCs w:val="20"/>
                <w:color w:val="auto"/>
              </w:rPr>
            </w:pPr>
            <w:r>
              <w:rPr>
                <w:rFonts w:ascii="Arial" w:cs="Arial" w:eastAsia="Arial" w:hAnsi="Arial"/>
                <w:sz w:val="18"/>
                <w:szCs w:val="18"/>
                <w:color w:val="auto"/>
              </w:rPr>
              <w:t>Stock-based compensation-related charges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jc w:val="right"/>
              <w:ind w:right="131"/>
              <w:spacing w:after="0"/>
              <w:rPr>
                <w:sz w:val="20"/>
                <w:szCs w:val="20"/>
                <w:color w:val="auto"/>
              </w:rPr>
            </w:pPr>
            <w:r>
              <w:rPr>
                <w:rFonts w:ascii="Arial" w:cs="Arial" w:eastAsia="Arial" w:hAnsi="Arial"/>
                <w:sz w:val="18"/>
                <w:szCs w:val="18"/>
                <w:color w:val="auto"/>
                <w:w w:val="94"/>
              </w:rPr>
              <w:t>44,693</w:t>
            </w:r>
          </w:p>
        </w:tc>
        <w:tc>
          <w:tcPr>
            <w:tcW w:w="80" w:type="dxa"/>
            <w:vAlign w:val="bottom"/>
          </w:tcPr>
          <w:p>
            <w:pPr>
              <w:spacing w:after="0"/>
              <w:rPr>
                <w:sz w:val="24"/>
                <w:szCs w:val="24"/>
                <w:color w:val="auto"/>
              </w:rPr>
            </w:pPr>
          </w:p>
        </w:tc>
        <w:tc>
          <w:tcPr>
            <w:tcW w:w="1380" w:type="dxa"/>
            <w:vAlign w:val="bottom"/>
            <w:gridSpan w:val="2"/>
          </w:tcPr>
          <w:p>
            <w:pPr>
              <w:jc w:val="right"/>
              <w:ind w:right="131"/>
              <w:spacing w:after="0"/>
              <w:rPr>
                <w:sz w:val="20"/>
                <w:szCs w:val="20"/>
                <w:color w:val="auto"/>
              </w:rPr>
            </w:pPr>
            <w:r>
              <w:rPr>
                <w:rFonts w:ascii="Arial" w:cs="Arial" w:eastAsia="Arial" w:hAnsi="Arial"/>
                <w:sz w:val="18"/>
                <w:szCs w:val="18"/>
                <w:color w:val="auto"/>
              </w:rPr>
              <w:t>17,511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184,653</w:t>
            </w:r>
          </w:p>
        </w:tc>
        <w:tc>
          <w:tcPr>
            <w:tcW w:w="80" w:type="dxa"/>
            <w:vAlign w:val="bottom"/>
          </w:tcPr>
          <w:p>
            <w:pPr>
              <w:spacing w:after="0"/>
              <w:rPr>
                <w:sz w:val="24"/>
                <w:szCs w:val="24"/>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77,379</w:t>
            </w:r>
          </w:p>
        </w:tc>
        <w:tc>
          <w:tcPr>
            <w:tcW w:w="0" w:type="dxa"/>
            <w:vAlign w:val="bottom"/>
          </w:tcPr>
          <w:p>
            <w:pPr>
              <w:spacing w:after="0"/>
              <w:rPr>
                <w:sz w:val="1"/>
                <w:szCs w:val="1"/>
                <w:color w:val="auto"/>
              </w:rPr>
            </w:pPr>
          </w:p>
        </w:tc>
      </w:tr>
      <w:tr>
        <w:trPr>
          <w:trHeight w:val="77"/>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5,213</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5,217</w:t>
            </w:r>
          </w:p>
        </w:tc>
        <w:tc>
          <w:tcPr>
            <w:tcW w:w="0" w:type="dxa"/>
            <w:vAlign w:val="bottom"/>
          </w:tcPr>
          <w:p>
            <w:pPr>
              <w:spacing w:after="0"/>
              <w:rPr>
                <w:sz w:val="1"/>
                <w:szCs w:val="1"/>
                <w:color w:val="auto"/>
              </w:rPr>
            </w:pPr>
          </w:p>
        </w:tc>
      </w:tr>
      <w:tr>
        <w:trPr>
          <w:trHeight w:val="77"/>
        </w:trPr>
        <w:tc>
          <w:tcPr>
            <w:tcW w:w="5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gridSpan w:val="2"/>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5460" w:type="dxa"/>
            <w:vAlign w:val="bottom"/>
          </w:tcPr>
          <w:p>
            <w:pPr>
              <w:ind w:left="20"/>
              <w:spacing w:after="0"/>
              <w:rPr>
                <w:sz w:val="20"/>
                <w:szCs w:val="20"/>
                <w:color w:val="auto"/>
              </w:rPr>
            </w:pPr>
            <w:r>
              <w:rPr>
                <w:rFonts w:ascii="Arial" w:cs="Arial" w:eastAsia="Arial" w:hAnsi="Arial"/>
                <w:sz w:val="18"/>
                <w:szCs w:val="18"/>
                <w:color w:val="auto"/>
              </w:rPr>
              <w:t>Accelerated amortization of trade name intangible asset</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jc w:val="right"/>
              <w:ind w:right="131"/>
              <w:spacing w:after="0"/>
              <w:rPr>
                <w:sz w:val="20"/>
                <w:szCs w:val="20"/>
                <w:color w:val="auto"/>
              </w:rPr>
            </w:pPr>
            <w:r>
              <w:rPr>
                <w:rFonts w:ascii="Arial" w:cs="Arial" w:eastAsia="Arial" w:hAnsi="Arial"/>
                <w:sz w:val="18"/>
                <w:szCs w:val="18"/>
                <w:color w:val="auto"/>
                <w:w w:val="94"/>
              </w:rPr>
              <w:t>36,160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36,160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1,966</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5,061</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88"/>
        </w:trPr>
        <w:tc>
          <w:tcPr>
            <w:tcW w:w="5460" w:type="dxa"/>
            <w:vAlign w:val="bottom"/>
          </w:tcPr>
          <w:p>
            <w:pPr>
              <w:ind w:left="20"/>
              <w:spacing w:after="0"/>
              <w:rPr>
                <w:sz w:val="20"/>
                <w:szCs w:val="20"/>
                <w:color w:val="auto"/>
              </w:rPr>
            </w:pPr>
            <w:r>
              <w:rPr>
                <w:rFonts w:ascii="Arial" w:cs="Arial" w:eastAsia="Arial" w:hAnsi="Arial"/>
                <w:sz w:val="18"/>
                <w:szCs w:val="18"/>
                <w:color w:val="auto"/>
              </w:rPr>
              <w:t>Loss (gain) on fair value adjustments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47,041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(12,200)</w:t>
            </w:r>
          </w:p>
        </w:tc>
        <w:tc>
          <w:tcPr>
            <w:tcW w:w="0" w:type="dxa"/>
            <w:vAlign w:val="bottom"/>
          </w:tcPr>
          <w:p>
            <w:pPr>
              <w:spacing w:after="0"/>
              <w:rPr>
                <w:sz w:val="1"/>
                <w:szCs w:val="1"/>
                <w:color w:val="auto"/>
              </w:rPr>
            </w:pPr>
          </w:p>
        </w:tc>
      </w:tr>
      <w:tr>
        <w:trPr>
          <w:trHeight w:val="77"/>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 debt issuance costs expensed</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2,913</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4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117,978</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6,661</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6,661</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54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jc w:val="right"/>
              <w:ind w:right="131"/>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provision for income taxes</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2,084</w:t>
            </w:r>
          </w:p>
        </w:tc>
        <w:tc>
          <w:tcPr>
            <w:tcW w:w="0" w:type="dxa"/>
            <w:vAlign w:val="bottom"/>
          </w:tcPr>
          <w:p>
            <w:pPr>
              <w:spacing w:after="0"/>
              <w:rPr>
                <w:sz w:val="1"/>
                <w:szCs w:val="1"/>
                <w:color w:val="auto"/>
              </w:rPr>
            </w:pPr>
          </w:p>
        </w:tc>
      </w:tr>
      <w:tr>
        <w:trPr>
          <w:trHeight w:val="294"/>
        </w:trPr>
        <w:tc>
          <w:tcPr>
            <w:tcW w:w="5460" w:type="dxa"/>
            <w:vAlign w:val="bottom"/>
          </w:tcPr>
          <w:p>
            <w:pPr>
              <w:ind w:left="20"/>
              <w:spacing w:after="0"/>
              <w:rPr>
                <w:sz w:val="20"/>
                <w:szCs w:val="20"/>
                <w:color w:val="auto"/>
              </w:rPr>
            </w:pPr>
            <w:r>
              <w:rPr>
                <w:rFonts w:ascii="Arial" w:cs="Arial" w:eastAsia="Arial" w:hAnsi="Arial"/>
                <w:sz w:val="18"/>
                <w:szCs w:val="18"/>
                <w:color w:val="auto"/>
              </w:rPr>
              <w:t>Non-GAAP net income (loss)</w:t>
            </w:r>
          </w:p>
        </w:tc>
        <w:tc>
          <w:tcPr>
            <w:tcW w:w="68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5,248</w:t>
            </w:r>
          </w:p>
        </w:tc>
        <w:tc>
          <w:tcPr>
            <w:tcW w:w="80" w:type="dxa"/>
            <w:vAlign w:val="bottom"/>
          </w:tcPr>
          <w:p>
            <w:pPr>
              <w:spacing w:after="0"/>
              <w:rPr>
                <w:sz w:val="24"/>
                <w:szCs w:val="24"/>
                <w:color w:val="auto"/>
              </w:rPr>
            </w:pPr>
          </w:p>
        </w:tc>
        <w:tc>
          <w:tcPr>
            <w:tcW w:w="6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(33,052)</w:t>
            </w: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4"/>
                <w:szCs w:val="24"/>
                <w:color w:val="auto"/>
              </w:rPr>
            </w:pPr>
          </w:p>
        </w:tc>
        <w:tc>
          <w:tcPr>
            <w:tcW w:w="6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(96,387)</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 per share attributable to common stockholders,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(0.29)</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(4.07)</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Arial" w:cs="Arial" w:eastAsia="Arial" w:hAnsi="Arial"/>
                <w:sz w:val="18"/>
                <w:szCs w:val="18"/>
                <w:color w:val="auto"/>
              </w:rPr>
              <w:t>Weighted-average shares outstanding used to compute GAAP net</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loss per share attributable to common stockholders, basic and</w:t>
            </w:r>
          </w:p>
        </w:tc>
        <w:tc>
          <w:tcPr>
            <w:tcW w:w="1440" w:type="dxa"/>
            <w:vAlign w:val="bottom"/>
            <w:gridSpan w:val="3"/>
            <w:vMerge w:val="restart"/>
          </w:tcPr>
          <w:p>
            <w:pPr>
              <w:jc w:val="right"/>
              <w:ind w:right="131"/>
              <w:spacing w:after="0"/>
              <w:rPr>
                <w:sz w:val="20"/>
                <w:szCs w:val="20"/>
                <w:color w:val="auto"/>
              </w:rPr>
            </w:pPr>
            <w:r>
              <w:rPr>
                <w:rFonts w:ascii="Arial" w:cs="Arial" w:eastAsia="Arial" w:hAnsi="Arial"/>
                <w:sz w:val="18"/>
                <w:szCs w:val="18"/>
                <w:color w:val="auto"/>
              </w:rPr>
              <w:t>248,835,778</w:t>
            </w:r>
          </w:p>
        </w:tc>
        <w:tc>
          <w:tcPr>
            <w:tcW w:w="80" w:type="dxa"/>
            <w:vAlign w:val="bottom"/>
          </w:tcPr>
          <w:p>
            <w:pPr>
              <w:spacing w:after="0"/>
              <w:rPr>
                <w:sz w:val="15"/>
                <w:szCs w:val="15"/>
                <w:color w:val="auto"/>
              </w:rPr>
            </w:pPr>
          </w:p>
        </w:tc>
        <w:tc>
          <w:tcPr>
            <w:tcW w:w="138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45,454,277</w:t>
            </w:r>
          </w:p>
        </w:tc>
        <w:tc>
          <w:tcPr>
            <w:tcW w:w="80" w:type="dxa"/>
            <w:vAlign w:val="bottom"/>
          </w:tcPr>
          <w:p>
            <w:pPr>
              <w:spacing w:after="0"/>
              <w:rPr>
                <w:sz w:val="15"/>
                <w:szCs w:val="15"/>
                <w:color w:val="auto"/>
              </w:rPr>
            </w:pPr>
          </w:p>
        </w:tc>
        <w:tc>
          <w:tcPr>
            <w:tcW w:w="13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97,795,703</w:t>
            </w:r>
          </w:p>
        </w:tc>
        <w:tc>
          <w:tcPr>
            <w:tcW w:w="80" w:type="dxa"/>
            <w:vAlign w:val="bottom"/>
          </w:tcPr>
          <w:p>
            <w:pPr>
              <w:spacing w:after="0"/>
              <w:rPr>
                <w:sz w:val="15"/>
                <w:szCs w:val="15"/>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45,271,666</w:t>
            </w:r>
          </w:p>
        </w:tc>
        <w:tc>
          <w:tcPr>
            <w:tcW w:w="0" w:type="dxa"/>
            <w:vAlign w:val="bottom"/>
          </w:tcPr>
          <w:p>
            <w:pPr>
              <w:spacing w:after="0"/>
              <w:rPr>
                <w:sz w:val="1"/>
                <w:szCs w:val="1"/>
                <w:color w:val="auto"/>
              </w:rPr>
            </w:pPr>
          </w:p>
        </w:tc>
      </w:tr>
      <w:tr>
        <w:trPr>
          <w:trHeight w:val="221"/>
        </w:trPr>
        <w:tc>
          <w:tcPr>
            <w:tcW w:w="5460" w:type="dxa"/>
            <w:vAlign w:val="bottom"/>
          </w:tcPr>
          <w:p>
            <w:pPr>
              <w:ind w:left="2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 per share attributable to common</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64"/>
        </w:trPr>
        <w:tc>
          <w:tcPr>
            <w:tcW w:w="546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Arial" w:cs="Arial" w:eastAsia="Arial" w:hAnsi="Arial"/>
                <w:sz w:val="18"/>
                <w:szCs w:val="18"/>
                <w:color w:val="auto"/>
              </w:rPr>
              <w:t>Weighted-average shares outstanding used to compute non-GAAP</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per share attributable to common stockholders,</w:t>
            </w:r>
          </w:p>
        </w:tc>
        <w:tc>
          <w:tcPr>
            <w:tcW w:w="1440" w:type="dxa"/>
            <w:vAlign w:val="bottom"/>
            <w:gridSpan w:val="3"/>
            <w:vMerge w:val="restart"/>
          </w:tcPr>
          <w:p>
            <w:pPr>
              <w:jc w:val="right"/>
              <w:ind w:right="131"/>
              <w:spacing w:after="0"/>
              <w:rPr>
                <w:sz w:val="20"/>
                <w:szCs w:val="20"/>
                <w:color w:val="auto"/>
              </w:rPr>
            </w:pPr>
            <w:r>
              <w:rPr>
                <w:rFonts w:ascii="Arial" w:cs="Arial" w:eastAsia="Arial" w:hAnsi="Arial"/>
                <w:sz w:val="18"/>
                <w:szCs w:val="18"/>
                <w:color w:val="auto"/>
              </w:rPr>
              <w:t>248,835,778</w:t>
            </w:r>
          </w:p>
        </w:tc>
        <w:tc>
          <w:tcPr>
            <w:tcW w:w="80" w:type="dxa"/>
            <w:vAlign w:val="bottom"/>
          </w:tcPr>
          <w:p>
            <w:pPr>
              <w:spacing w:after="0"/>
              <w:rPr>
                <w:sz w:val="15"/>
                <w:szCs w:val="15"/>
                <w:color w:val="auto"/>
              </w:rPr>
            </w:pPr>
          </w:p>
        </w:tc>
        <w:tc>
          <w:tcPr>
            <w:tcW w:w="138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45,454,277</w:t>
            </w:r>
          </w:p>
        </w:tc>
        <w:tc>
          <w:tcPr>
            <w:tcW w:w="80" w:type="dxa"/>
            <w:vAlign w:val="bottom"/>
          </w:tcPr>
          <w:p>
            <w:pPr>
              <w:spacing w:after="0"/>
              <w:rPr>
                <w:sz w:val="15"/>
                <w:szCs w:val="15"/>
                <w:color w:val="auto"/>
              </w:rPr>
            </w:pPr>
          </w:p>
        </w:tc>
        <w:tc>
          <w:tcPr>
            <w:tcW w:w="13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97,795,703</w:t>
            </w:r>
          </w:p>
        </w:tc>
        <w:tc>
          <w:tcPr>
            <w:tcW w:w="80" w:type="dxa"/>
            <w:vAlign w:val="bottom"/>
          </w:tcPr>
          <w:p>
            <w:pPr>
              <w:spacing w:after="0"/>
              <w:rPr>
                <w:sz w:val="15"/>
                <w:szCs w:val="15"/>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45,271,666</w:t>
            </w:r>
          </w:p>
        </w:tc>
        <w:tc>
          <w:tcPr>
            <w:tcW w:w="0" w:type="dxa"/>
            <w:vAlign w:val="bottom"/>
          </w:tcPr>
          <w:p>
            <w:pPr>
              <w:spacing w:after="0"/>
              <w:rPr>
                <w:sz w:val="1"/>
                <w:szCs w:val="1"/>
                <w:color w:val="auto"/>
              </w:rPr>
            </w:pPr>
          </w:p>
        </w:tc>
      </w:tr>
      <w:tr>
        <w:trPr>
          <w:trHeight w:val="221"/>
        </w:trPr>
        <w:tc>
          <w:tcPr>
            <w:tcW w:w="5460" w:type="dxa"/>
            <w:vAlign w:val="bottom"/>
          </w:tcPr>
          <w:p>
            <w:pPr>
              <w:ind w:left="2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Non-GAAP net income (loss) per share attributable to common</w:t>
            </w:r>
          </w:p>
        </w:tc>
        <w:tc>
          <w:tcPr>
            <w:tcW w:w="6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68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580" w:type="dxa"/>
            <w:vAlign w:val="bottom"/>
            <w:gridSpan w:val="2"/>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Arial" w:cs="Arial" w:eastAsia="Arial" w:hAnsi="Arial"/>
                <w:sz w:val="18"/>
                <w:szCs w:val="18"/>
                <w:color w:val="auto"/>
              </w:rPr>
              <w:t>Weighted-average shares outstanding used to compute GAAP net</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loss per share attributable to common stockholders, basic and</w:t>
            </w:r>
          </w:p>
        </w:tc>
        <w:tc>
          <w:tcPr>
            <w:tcW w:w="1440" w:type="dxa"/>
            <w:vAlign w:val="bottom"/>
            <w:gridSpan w:val="3"/>
            <w:vMerge w:val="restart"/>
          </w:tcPr>
          <w:p>
            <w:pPr>
              <w:jc w:val="right"/>
              <w:ind w:right="131"/>
              <w:spacing w:after="0"/>
              <w:rPr>
                <w:sz w:val="20"/>
                <w:szCs w:val="20"/>
                <w:color w:val="auto"/>
              </w:rPr>
            </w:pPr>
            <w:r>
              <w:rPr>
                <w:rFonts w:ascii="Arial" w:cs="Arial" w:eastAsia="Arial" w:hAnsi="Arial"/>
                <w:sz w:val="18"/>
                <w:szCs w:val="18"/>
                <w:color w:val="auto"/>
              </w:rPr>
              <w:t>248,835,778</w:t>
            </w:r>
          </w:p>
        </w:tc>
        <w:tc>
          <w:tcPr>
            <w:tcW w:w="80" w:type="dxa"/>
            <w:vAlign w:val="bottom"/>
          </w:tcPr>
          <w:p>
            <w:pPr>
              <w:spacing w:after="0"/>
              <w:rPr>
                <w:sz w:val="15"/>
                <w:szCs w:val="15"/>
                <w:color w:val="auto"/>
              </w:rPr>
            </w:pPr>
          </w:p>
        </w:tc>
        <w:tc>
          <w:tcPr>
            <w:tcW w:w="138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45,454,277</w:t>
            </w:r>
          </w:p>
        </w:tc>
        <w:tc>
          <w:tcPr>
            <w:tcW w:w="80" w:type="dxa"/>
            <w:vAlign w:val="bottom"/>
          </w:tcPr>
          <w:p>
            <w:pPr>
              <w:spacing w:after="0"/>
              <w:rPr>
                <w:sz w:val="15"/>
                <w:szCs w:val="15"/>
                <w:color w:val="auto"/>
              </w:rPr>
            </w:pPr>
          </w:p>
        </w:tc>
        <w:tc>
          <w:tcPr>
            <w:tcW w:w="13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97,795,703</w:t>
            </w:r>
          </w:p>
        </w:tc>
        <w:tc>
          <w:tcPr>
            <w:tcW w:w="80" w:type="dxa"/>
            <w:vAlign w:val="bottom"/>
          </w:tcPr>
          <w:p>
            <w:pPr>
              <w:spacing w:after="0"/>
              <w:rPr>
                <w:sz w:val="15"/>
                <w:szCs w:val="15"/>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45,271,666</w:t>
            </w: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Arial" w:cs="Arial" w:eastAsia="Arial" w:hAnsi="Arial"/>
                <w:sz w:val="18"/>
                <w:szCs w:val="18"/>
                <w:color w:val="auto"/>
              </w:rPr>
              <w:t>diluted</w:t>
            </w:r>
          </w:p>
        </w:tc>
        <w:tc>
          <w:tcPr>
            <w:tcW w:w="14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Effect of potentially dilutive common stock equivalents</w:t>
            </w:r>
          </w:p>
        </w:tc>
        <w:tc>
          <w:tcPr>
            <w:tcW w:w="14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8,673,596</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Arial" w:cs="Arial" w:eastAsia="Arial" w:hAnsi="Arial"/>
                <w:sz w:val="18"/>
                <w:szCs w:val="18"/>
                <w:color w:val="auto"/>
              </w:rPr>
              <w:t>Weighted-average shares outstanding used to compute non-GAAP</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per share attributable to common stockholders,</w:t>
            </w:r>
          </w:p>
        </w:tc>
        <w:tc>
          <w:tcPr>
            <w:tcW w:w="1440" w:type="dxa"/>
            <w:vAlign w:val="bottom"/>
            <w:gridSpan w:val="3"/>
            <w:vMerge w:val="restart"/>
          </w:tcPr>
          <w:p>
            <w:pPr>
              <w:jc w:val="right"/>
              <w:ind w:right="131"/>
              <w:spacing w:after="0"/>
              <w:rPr>
                <w:sz w:val="20"/>
                <w:szCs w:val="20"/>
                <w:color w:val="auto"/>
              </w:rPr>
            </w:pPr>
            <w:r>
              <w:rPr>
                <w:rFonts w:ascii="Arial" w:cs="Arial" w:eastAsia="Arial" w:hAnsi="Arial"/>
                <w:sz w:val="18"/>
                <w:szCs w:val="18"/>
                <w:color w:val="auto"/>
              </w:rPr>
              <w:t>257,509,374</w:t>
            </w:r>
          </w:p>
        </w:tc>
        <w:tc>
          <w:tcPr>
            <w:tcW w:w="80" w:type="dxa"/>
            <w:vAlign w:val="bottom"/>
          </w:tcPr>
          <w:p>
            <w:pPr>
              <w:spacing w:after="0"/>
              <w:rPr>
                <w:sz w:val="15"/>
                <w:szCs w:val="15"/>
                <w:color w:val="auto"/>
              </w:rPr>
            </w:pPr>
          </w:p>
        </w:tc>
        <w:tc>
          <w:tcPr>
            <w:tcW w:w="138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45,454,277</w:t>
            </w:r>
          </w:p>
        </w:tc>
        <w:tc>
          <w:tcPr>
            <w:tcW w:w="80" w:type="dxa"/>
            <w:vAlign w:val="bottom"/>
          </w:tcPr>
          <w:p>
            <w:pPr>
              <w:spacing w:after="0"/>
              <w:rPr>
                <w:sz w:val="15"/>
                <w:szCs w:val="15"/>
                <w:color w:val="auto"/>
              </w:rPr>
            </w:pPr>
          </w:p>
        </w:tc>
        <w:tc>
          <w:tcPr>
            <w:tcW w:w="13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97,795,703</w:t>
            </w:r>
          </w:p>
        </w:tc>
        <w:tc>
          <w:tcPr>
            <w:tcW w:w="80" w:type="dxa"/>
            <w:vAlign w:val="bottom"/>
          </w:tcPr>
          <w:p>
            <w:pPr>
              <w:spacing w:after="0"/>
              <w:rPr>
                <w:sz w:val="15"/>
                <w:szCs w:val="15"/>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45,271,666</w:t>
            </w:r>
          </w:p>
        </w:tc>
        <w:tc>
          <w:tcPr>
            <w:tcW w:w="0" w:type="dxa"/>
            <w:vAlign w:val="bottom"/>
          </w:tcPr>
          <w:p>
            <w:pPr>
              <w:spacing w:after="0"/>
              <w:rPr>
                <w:sz w:val="1"/>
                <w:szCs w:val="1"/>
                <w:color w:val="auto"/>
              </w:rPr>
            </w:pPr>
          </w:p>
        </w:tc>
      </w:tr>
      <w:tr>
        <w:trPr>
          <w:trHeight w:val="221"/>
        </w:trPr>
        <w:tc>
          <w:tcPr>
            <w:tcW w:w="5460" w:type="dxa"/>
            <w:vAlign w:val="bottom"/>
          </w:tcPr>
          <w:p>
            <w:pPr>
              <w:ind w:left="2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Free Cash Flow</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3"/>
        </w:trPr>
        <w:tc>
          <w:tcPr>
            <w:tcW w:w="5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January 31,</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p>
        </w:tc>
        <w:tc>
          <w:tcPr>
            <w:tcW w:w="144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20"/>
                <w:szCs w:val="20"/>
                <w:color w:val="auto"/>
              </w:rPr>
            </w:pPr>
          </w:p>
        </w:tc>
        <w:tc>
          <w:tcPr>
            <w:tcW w:w="1380" w:type="dxa"/>
            <w:vAlign w:val="bottom"/>
            <w:gridSpan w:val="2"/>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56"/>
        </w:trPr>
        <w:tc>
          <w:tcPr>
            <w:tcW w:w="5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4"/>
              </w:rPr>
              <w:t>34,982</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33,671</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(50,406)</w:t>
            </w:r>
          </w:p>
        </w:tc>
        <w:tc>
          <w:tcPr>
            <w:tcW w:w="0" w:type="dxa"/>
            <w:vAlign w:val="bottom"/>
          </w:tcPr>
          <w:p>
            <w:pPr>
              <w:spacing w:after="0"/>
              <w:rPr>
                <w:sz w:val="1"/>
                <w:szCs w:val="1"/>
                <w:color w:val="auto"/>
              </w:rPr>
            </w:pPr>
          </w:p>
        </w:tc>
      </w:tr>
      <w:tr>
        <w:trPr>
          <w:trHeight w:val="341"/>
        </w:trPr>
        <w:tc>
          <w:tcPr>
            <w:tcW w:w="5460" w:type="dxa"/>
            <w:vAlign w:val="bottom"/>
          </w:tcPr>
          <w:p>
            <w:pPr>
              <w:ind w:left="140"/>
              <w:spacing w:after="0"/>
              <w:rPr>
                <w:sz w:val="20"/>
                <w:szCs w:val="20"/>
                <w:color w:val="auto"/>
              </w:rPr>
            </w:pPr>
            <w:r>
              <w:rPr>
                <w:rFonts w:ascii="Arial" w:cs="Arial" w:eastAsia="Arial" w:hAnsi="Arial"/>
                <w:sz w:val="18"/>
                <w:szCs w:val="18"/>
                <w:color w:val="auto"/>
              </w:rPr>
              <w:t>Less: Capitalized software development costs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(4,918)</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(17,990)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(15,309)</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4"/>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Purchases of property and equipment</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68"/>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Free cash flow</w:t>
            </w:r>
          </w:p>
        </w:tc>
        <w:tc>
          <w:tcPr>
            <w:tcW w:w="80" w:type="dxa"/>
            <w:vAlign w:val="bottom"/>
          </w:tcPr>
          <w:p>
            <w:pPr>
              <w:spacing w:after="0"/>
              <w:rPr>
                <w:sz w:val="23"/>
                <w:szCs w:val="23"/>
                <w:color w:val="auto"/>
              </w:rPr>
            </w:pPr>
          </w:p>
        </w:tc>
        <w:tc>
          <w:tcPr>
            <w:tcW w:w="6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4"/>
              </w:rPr>
              <w:t>29,736</w:t>
            </w:r>
          </w:p>
        </w:tc>
        <w:tc>
          <w:tcPr>
            <w:tcW w:w="80" w:type="dxa"/>
            <w:vAlign w:val="bottom"/>
          </w:tcPr>
          <w:p>
            <w:pPr>
              <w:spacing w:after="0"/>
              <w:rPr>
                <w:sz w:val="23"/>
                <w:szCs w:val="23"/>
                <w:color w:val="auto"/>
              </w:rPr>
            </w:pPr>
          </w:p>
        </w:tc>
        <w:tc>
          <w:tcPr>
            <w:tcW w:w="6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(12,900)</w:t>
            </w:r>
          </w:p>
        </w:tc>
        <w:tc>
          <w:tcPr>
            <w:tcW w:w="80" w:type="dxa"/>
            <w:vAlign w:val="bottom"/>
          </w:tcPr>
          <w:p>
            <w:pPr>
              <w:spacing w:after="0"/>
              <w:rPr>
                <w:sz w:val="23"/>
                <w:szCs w:val="2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14,764</w:t>
            </w:r>
          </w:p>
        </w:tc>
        <w:tc>
          <w:tcPr>
            <w:tcW w:w="80" w:type="dxa"/>
            <w:vAlign w:val="bottom"/>
          </w:tcPr>
          <w:p>
            <w:pPr>
              <w:spacing w:after="0"/>
              <w:rPr>
                <w:sz w:val="23"/>
                <w:szCs w:val="23"/>
                <w:color w:val="auto"/>
              </w:rPr>
            </w:pPr>
          </w:p>
        </w:tc>
        <w:tc>
          <w:tcPr>
            <w:tcW w:w="6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(66,709)</w:t>
            </w:r>
          </w:p>
        </w:tc>
        <w:tc>
          <w:tcPr>
            <w:tcW w:w="0" w:type="dxa"/>
            <w:vAlign w:val="bottom"/>
          </w:tcPr>
          <w:p>
            <w:pPr>
              <w:spacing w:after="0"/>
              <w:rPr>
                <w:sz w:val="1"/>
                <w:szCs w:val="1"/>
                <w:color w:val="auto"/>
              </w:rPr>
            </w:pPr>
          </w:p>
        </w:tc>
      </w:tr>
      <w:tr>
        <w:trPr>
          <w:trHeight w:val="64"/>
        </w:trPr>
        <w:tc>
          <w:tcPr>
            <w:tcW w:w="5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584"/>
    </w:lvl>
    <w:lvl w:ilvl="1">
      <w:lvlJc w:val="left"/>
      <w:lvlText w:val="\emdash "/>
      <w:numFmt w:val="bullet"/>
      <w:start w:val="1"/>
    </w:lvl>
  </w:abstractNum>
  <w:abstractNum w:abstractNumId="14">
    <w:nsid w:val="41A7C4C9"/>
    <w:multiLevelType w:val="hybridMultilevel"/>
    <w:lvl w:ilvl="0">
      <w:lvlJc w:val="left"/>
      <w:lvlText w:val="\emdash "/>
      <w:numFmt w:val="bullet"/>
      <w:start w:val="1"/>
    </w:lvl>
  </w:abstractNum>
  <w:abstractNum w:abstractNumId="15">
    <w:nsid w:val="6B68079A"/>
    <w:multiLevelType w:val="hybridMultilevel"/>
    <w:lvl w:ilvl="0">
      <w:lvlJc w:val="left"/>
      <w:lvlText w:val="%1"/>
      <w:numFmt w:val="decimal"/>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2026-03-25T16:02:38Z</dcterms:created>
  <dcterms:modified xsi:type="dcterms:W3CDTF">2026-03-25T16:02:38Z</dcterms:modified>
</cp:coreProperties>
</file>