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NAVAN,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tbl>
      <w:tblPr>
        <w:tblLayout w:type="fixed"/>
        <w:tblInd w:w="600" w:type="dxa"/>
        <w:tblCellMar>
          <w:top w:w="0" w:type="dxa"/>
          <w:left w:w="0" w:type="dxa"/>
          <w:bottom w:w="0" w:type="dxa"/>
          <w:right w:w="0" w:type="dxa"/>
        </w:tblCellMar>
      </w:tblPr>
      <w:tr>
        <w:trPr>
          <w:trHeight w:val="238"/>
        </w:trPr>
        <w:tc>
          <w:tcPr>
            <w:tcW w:w="2720" w:type="dxa"/>
            <w:vAlign w:val="bottom"/>
          </w:tcPr>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920" w:type="dxa"/>
            <w:vAlign w:val="bottom"/>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001-42922</w:t>
            </w:r>
          </w:p>
        </w:tc>
        <w:tc>
          <w:tcPr>
            <w:tcW w:w="170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47-3424780</w:t>
            </w:r>
          </w:p>
        </w:tc>
      </w:tr>
      <w:tr>
        <w:trPr>
          <w:trHeight w:val="178"/>
        </w:trPr>
        <w:tc>
          <w:tcPr>
            <w:tcW w:w="272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920" w:type="dxa"/>
            <w:vAlign w:val="bottom"/>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700" w:type="dxa"/>
            <w:vAlign w:val="bottom"/>
          </w:tcPr>
          <w:p>
            <w:pPr>
              <w:jc w:val="center"/>
              <w:ind w:left="50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72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920" w:type="dxa"/>
            <w:vAlign w:val="bottom"/>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00" w:type="dxa"/>
            <w:vAlign w:val="bottom"/>
          </w:tcPr>
          <w:p>
            <w:pPr>
              <w:jc w:val="center"/>
              <w:ind w:left="5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01"/>
        </w:trPr>
        <w:tc>
          <w:tcPr>
            <w:tcW w:w="2720" w:type="dxa"/>
            <w:vAlign w:val="bottom"/>
          </w:tcPr>
          <w:p>
            <w:pPr>
              <w:jc w:val="center"/>
              <w:ind w:right="179"/>
              <w:spacing w:after="0"/>
              <w:rPr>
                <w:sz w:val="20"/>
                <w:szCs w:val="20"/>
                <w:color w:val="auto"/>
              </w:rPr>
            </w:pPr>
            <w:r>
              <w:rPr>
                <w:rFonts w:ascii="Times New Roman" w:cs="Times New Roman" w:eastAsia="Times New Roman" w:hAnsi="Times New Roman"/>
                <w:sz w:val="18"/>
                <w:szCs w:val="18"/>
                <w:b w:val="1"/>
                <w:bCs w:val="1"/>
                <w:color w:val="auto"/>
                <w:w w:val="99"/>
              </w:rPr>
              <w:t>3045 Park Boulevard</w:t>
            </w:r>
          </w:p>
        </w:tc>
        <w:tc>
          <w:tcPr>
            <w:tcW w:w="49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54"/>
        </w:trPr>
        <w:tc>
          <w:tcPr>
            <w:tcW w:w="2720" w:type="dxa"/>
            <w:vAlign w:val="bottom"/>
          </w:tcPr>
          <w:p>
            <w:pPr>
              <w:jc w:val="center"/>
              <w:ind w:right="179"/>
              <w:spacing w:after="0"/>
              <w:rPr>
                <w:sz w:val="20"/>
                <w:szCs w:val="20"/>
                <w:color w:val="auto"/>
              </w:rPr>
            </w:pPr>
            <w:r>
              <w:rPr>
                <w:rFonts w:ascii="Times New Roman" w:cs="Times New Roman" w:eastAsia="Times New Roman" w:hAnsi="Times New Roman"/>
                <w:sz w:val="18"/>
                <w:szCs w:val="18"/>
                <w:b w:val="1"/>
                <w:bCs w:val="1"/>
                <w:color w:val="auto"/>
                <w:w w:val="99"/>
              </w:rPr>
              <w:t>Palo Alto, California</w:t>
            </w:r>
          </w:p>
        </w:tc>
        <w:tc>
          <w:tcPr>
            <w:tcW w:w="4920" w:type="dxa"/>
            <w:vAlign w:val="bottom"/>
          </w:tcPr>
          <w:p>
            <w:pPr>
              <w:spacing w:after="0"/>
              <w:rPr>
                <w:sz w:val="22"/>
                <w:szCs w:val="22"/>
                <w:color w:val="auto"/>
              </w:rPr>
            </w:pPr>
          </w:p>
        </w:tc>
        <w:tc>
          <w:tcPr>
            <w:tcW w:w="17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94306</w:t>
            </w:r>
          </w:p>
        </w:tc>
      </w:tr>
      <w:tr>
        <w:trPr>
          <w:trHeight w:val="190"/>
        </w:trPr>
        <w:tc>
          <w:tcPr>
            <w:tcW w:w="272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920" w:type="dxa"/>
            <w:vAlign w:val="bottom"/>
          </w:tcPr>
          <w:p>
            <w:pPr>
              <w:spacing w:after="0"/>
              <w:rPr>
                <w:sz w:val="16"/>
                <w:szCs w:val="16"/>
                <w:color w:val="auto"/>
              </w:rPr>
            </w:pPr>
          </w:p>
        </w:tc>
        <w:tc>
          <w:tcPr>
            <w:tcW w:w="1700" w:type="dxa"/>
            <w:vAlign w:val="bottom"/>
          </w:tcPr>
          <w:p>
            <w:pPr>
              <w:jc w:val="center"/>
              <w:ind w:left="52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485"/>
        </w:trPr>
        <w:tc>
          <w:tcPr>
            <w:tcW w:w="2720" w:type="dxa"/>
            <w:vAlign w:val="bottom"/>
          </w:tcPr>
          <w:p>
            <w:pPr>
              <w:spacing w:after="0"/>
              <w:rPr>
                <w:sz w:val="24"/>
                <w:szCs w:val="24"/>
                <w:color w:val="auto"/>
              </w:rPr>
            </w:pPr>
          </w:p>
        </w:tc>
        <w:tc>
          <w:tcPr>
            <w:tcW w:w="4920" w:type="dxa"/>
            <w:vAlign w:val="bottom"/>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(888) 505-8747</w:t>
            </w:r>
          </w:p>
        </w:tc>
        <w:tc>
          <w:tcPr>
            <w:tcW w:w="1700" w:type="dxa"/>
            <w:vAlign w:val="bottom"/>
          </w:tcPr>
          <w:p>
            <w:pPr>
              <w:spacing w:after="0"/>
              <w:rPr>
                <w:sz w:val="24"/>
                <w:szCs w:val="24"/>
                <w:color w:val="auto"/>
              </w:rPr>
            </w:pPr>
          </w:p>
        </w:tc>
      </w:tr>
      <w:tr>
        <w:trPr>
          <w:trHeight w:val="190"/>
        </w:trPr>
        <w:tc>
          <w:tcPr>
            <w:tcW w:w="2720" w:type="dxa"/>
            <w:vAlign w:val="bottom"/>
          </w:tcPr>
          <w:p>
            <w:pPr>
              <w:spacing w:after="0"/>
              <w:rPr>
                <w:sz w:val="16"/>
                <w:szCs w:val="16"/>
                <w:color w:val="auto"/>
              </w:rPr>
            </w:pPr>
          </w:p>
        </w:tc>
        <w:tc>
          <w:tcPr>
            <w:tcW w:w="4920" w:type="dxa"/>
            <w:vAlign w:val="bottom"/>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00" w:type="dxa"/>
            <w:vAlign w:val="bottom"/>
          </w:tcPr>
          <w:p>
            <w:pPr>
              <w:spacing w:after="0"/>
              <w:rPr>
                <w:sz w:val="16"/>
                <w:szCs w:val="16"/>
                <w:color w:val="auto"/>
              </w:rPr>
            </w:pPr>
          </w:p>
        </w:tc>
      </w:tr>
      <w:tr>
        <w:trPr>
          <w:trHeight w:val="336"/>
        </w:trPr>
        <w:tc>
          <w:tcPr>
            <w:tcW w:w="2720" w:type="dxa"/>
            <w:vAlign w:val="bottom"/>
          </w:tcPr>
          <w:p>
            <w:pPr>
              <w:spacing w:after="0"/>
              <w:rPr>
                <w:sz w:val="24"/>
                <w:szCs w:val="24"/>
                <w:color w:val="auto"/>
              </w:rPr>
            </w:pPr>
          </w:p>
        </w:tc>
        <w:tc>
          <w:tcPr>
            <w:tcW w:w="4920" w:type="dxa"/>
            <w:vAlign w:val="bottom"/>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700" w:type="dxa"/>
            <w:vAlign w:val="bottom"/>
          </w:tcPr>
          <w:p>
            <w:pPr>
              <w:spacing w:after="0"/>
              <w:rPr>
                <w:sz w:val="24"/>
                <w:szCs w:val="24"/>
                <w:color w:val="auto"/>
              </w:rPr>
            </w:pPr>
          </w:p>
        </w:tc>
      </w:tr>
      <w:tr>
        <w:trPr>
          <w:trHeight w:val="190"/>
        </w:trPr>
        <w:tc>
          <w:tcPr>
            <w:tcW w:w="2720" w:type="dxa"/>
            <w:vAlign w:val="bottom"/>
          </w:tcPr>
          <w:p>
            <w:pPr>
              <w:spacing w:after="0"/>
              <w:rPr>
                <w:sz w:val="16"/>
                <w:szCs w:val="16"/>
                <w:color w:val="auto"/>
              </w:rPr>
            </w:pPr>
          </w:p>
        </w:tc>
        <w:tc>
          <w:tcPr>
            <w:tcW w:w="492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ind w:right="66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22"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17"/>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4"/>
        </w:trPr>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06"/>
        </w:trPr>
        <w:tc>
          <w:tcPr>
            <w:tcW w:w="3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Class A Common Stock, $0.00000625 par value</w:t>
            </w:r>
          </w:p>
        </w:tc>
        <w:tc>
          <w:tcPr>
            <w:tcW w:w="120" w:type="dxa"/>
            <w:vAlign w:val="bottom"/>
          </w:tcPr>
          <w:p>
            <w:pPr>
              <w:spacing w:after="0"/>
              <w:rPr>
                <w:sz w:val="17"/>
                <w:szCs w:val="17"/>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NAVN</w:t>
            </w:r>
          </w:p>
        </w:tc>
        <w:tc>
          <w:tcPr>
            <w:tcW w:w="120" w:type="dxa"/>
            <w:vAlign w:val="bottom"/>
          </w:tcPr>
          <w:p>
            <w:pPr>
              <w:spacing w:after="0"/>
              <w:rPr>
                <w:sz w:val="17"/>
                <w:szCs w:val="17"/>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spacing w:after="0" w:line="296"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509905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024" w:right="359" w:bottom="1440" w:gutter="0" w:footer="0" w:header="0"/>
        </w:sectPr>
      </w:pPr>
    </w:p>
    <w:bookmarkStart w:id="1" w:name="page2"/>
    <w:bookmarkEnd w:id="1"/>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February 11, 2026, Navan, Inc. (the “Company”) announced that its Board of Directors (the “Board”) has appointed Aurélien Nolf to serve as the Company’s Chief Financial Officer, effective March 2, 2026 (the “Effective Date”). Mr. Nolf will succeed Anne Giviskos, who has been serving as Interim Chief Financial Officer while the Company conducted its search for a full-time Chief Financial Officer. From and after the Effective Date, Ms. Giviskos will resume her prior role of Senior Vice President, Strategic Finance and Chief Accounting Officer.</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Mr. Nolf, age 46, is a seasoned finance and business leader with more than 20 years of international public company experience in financial planning and analysis (“FP&amp;A”), controllership, investor relations and public accounting. Mr. Nolf joins the Company from Lyft, Inc., a public ridesharing company. As VP, Head of FP&amp;A and Investor Relations at Lyft since November 2022, Mr. Nolf played an important role in that company’s ongoing transformation by improving forecasting processes, leading a series of projects that achieved sustainable profitability and free cash flow, and advancing investor targeting and marketing efforts. Before Lyft, he spent more than 15 years in various finance leadership roles at Electronic Arts Inc., a public video gaming company, including as the Senior Director of FP&amp;A from April 2017 to November 2021 and the Vice President of FP&amp;A from November 2021 to November 2022. He began his career in the public accounting and audit practice at PricewaterhouseCoopers in Lyon, France. Mr. Nolf holds a Master’s degree in Corporate Law from the University of Lyon, as well as a Master in Management with a specialization in Finance from Emlyon Lyon Business School. He also holds a French DESCF (graduate-level accounting and finance qualification).</w:t>
      </w:r>
    </w:p>
    <w:p>
      <w:pPr>
        <w:spacing w:after="0" w:line="18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February 3, 2026, the Company entered into an offer letter with Mr. Nolf (the “Offer Letter”) setting forth the initial terms of Mr. Nolf’s employment as the Company’s Chief Financial Officer. Pursuant to the Offer Letter, for his service as Chief Financial Officer, Mr. Nolf will:</w:t>
      </w:r>
    </w:p>
    <w:p>
      <w:pPr>
        <w:spacing w:after="0" w:line="18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an initial annual base salary of $600,000;</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his commencement of employment with the Company on or before March 2, 2026, receive a one-time sign-on bonus consisting of: (a) a cash payment of $1,500,000 (the “Cash Sign-On Bonus”), subject to repayment in the event of his voluntary resignation without Good Reason or termination by the Company for Cause (each as defined in the Change in Control and Severance Agreement (as defined below)), which repayment obligation will be reduced by 1/12 of the value of such Cash Sign-On Bonus for each completed month of work prior to such resignation or termination; and (b) an award of restricted stock units covering shares of the Company’s Class A common stock with an estimated value of $1,000,000 that vests in full on the first quarterly vesting date following the one-year anniversary of his employment start date, subject to his continued employment with the Company through such vesting date;</w:t>
      </w:r>
    </w:p>
    <w:p>
      <w:pPr>
        <w:spacing w:after="0" w:line="2" w:lineRule="exact"/>
        <w:rPr>
          <w:rFonts w:ascii="Times New Roman" w:cs="Times New Roman" w:eastAsia="Times New Roman" w:hAnsi="Times New Roman"/>
          <w:sz w:val="18"/>
          <w:szCs w:val="18"/>
          <w:color w:val="auto"/>
        </w:rPr>
      </w:pPr>
    </w:p>
    <w:p>
      <w:pPr>
        <w:ind w:left="660" w:right="50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eligible to receive an annual discretionary bonus of up to $300,000 (pro-rated for fiscal 2027 based on the amount of the fiscal year he is employed by the Company);</w:t>
      </w:r>
    </w:p>
    <w:p>
      <w:pPr>
        <w:ind w:left="660" w:hanging="328"/>
        <w:spacing w:after="0" w:line="265" w:lineRule="auto"/>
        <w:tabs>
          <w:tab w:leader="none" w:pos="65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receive an award of restricted stock units covering shares of the Company’s Class A common stock with an estimated value of $8,000,000, vesting as to 25% of such shares on the first quarterly vesting date following the first anniversary of the grant date and as to the remainder of such shares quarterly thereafter over the next three years, subject to his continued employment with the Company through each applicable vesting date; and</w:t>
      </w:r>
    </w:p>
    <w:p>
      <w:pPr>
        <w:ind w:left="660" w:right="80" w:hanging="328"/>
        <w:spacing w:after="0" w:line="253"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an award of an option to acquire shares of the Company’s Class A common stock with an estimated value of $6,000,000 with an exercise price equal to the closing price of the Company’s common stock on the grant date and vesting as to 25% of the shares subject to the option on the first anniversary of the grant date and 1/48th of the shares subject to the option each month thereafter, subject to his continued employment with the Company through each applicable vesting date.</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111111"/>
        </w:rPr>
        <w:t>In connection with his employment with the Company, Mr. Nolf entered into several agreements with the Company, effective as of the Effective Date, including: (i) the Company’s standard Employee Invention Assignment and Confidentiality Agreement; (ii) a Change in Control and Severance Agreement (the “Change in Control and Severance Agreement”), in the form that was filed as Exhibit 10.8 to Amendment Number 1 to the Company’s Registration Statement on Form S-1 filed with the Securities and Exchange Commission on October 10, 2025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2" w:name="page3"/>
    <w:bookmarkEnd w:id="2"/>
    <w:p>
      <w:pPr>
        <w:ind w:right="20"/>
        <w:spacing w:after="0" w:line="266" w:lineRule="auto"/>
        <w:rPr>
          <w:rFonts w:ascii="Times New Roman" w:cs="Times New Roman" w:eastAsia="Times New Roman" w:hAnsi="Times New Roman"/>
          <w:sz w:val="18"/>
          <w:szCs w:val="18"/>
          <w:color w:val="111111"/>
        </w:rPr>
      </w:pPr>
      <w:r>
        <w:rPr>
          <w:rFonts w:ascii="Times New Roman" w:cs="Times New Roman" w:eastAsia="Times New Roman" w:hAnsi="Times New Roman"/>
          <w:sz w:val="18"/>
          <w:szCs w:val="18"/>
          <w:color w:val="111111"/>
        </w:rPr>
        <w:t>“S-1/A”), the terms of which are described under “</w:t>
      </w:r>
      <w:hyperlink r:id="rId17">
        <w:r>
          <w:rPr>
            <w:rFonts w:ascii="Times New Roman" w:cs="Times New Roman" w:eastAsia="Times New Roman" w:hAnsi="Times New Roman"/>
            <w:sz w:val="18"/>
            <w:szCs w:val="18"/>
            <w:u w:val="single" w:color="auto"/>
            <w:color w:val="0000FF"/>
          </w:rPr>
          <w:t>Executive Compensation―Change in Control and Severance Agreements</w:t>
        </w:r>
      </w:hyperlink>
      <w:r>
        <w:rPr>
          <w:rFonts w:ascii="Times New Roman" w:cs="Times New Roman" w:eastAsia="Times New Roman" w:hAnsi="Times New Roman"/>
          <w:sz w:val="18"/>
          <w:szCs w:val="18"/>
          <w:color w:val="111111"/>
        </w:rPr>
        <w:t xml:space="preserve">” on pages 176 to 177 of the S-1/A (which description is incorporated herein by reference); and (iii) </w:t>
      </w:r>
      <w:r>
        <w:rPr>
          <w:rFonts w:ascii="Times New Roman" w:cs="Times New Roman" w:eastAsia="Times New Roman" w:hAnsi="Times New Roman"/>
          <w:sz w:val="18"/>
          <w:szCs w:val="18"/>
          <w:color w:val="000000"/>
        </w:rPr>
        <w:t>the Company’s standard form indemnification agreement, which was filed as Exhibit</w:t>
      </w:r>
      <w:r>
        <w:rPr>
          <w:rFonts w:ascii="Times New Roman" w:cs="Times New Roman" w:eastAsia="Times New Roman" w:hAnsi="Times New Roman"/>
          <w:sz w:val="18"/>
          <w:szCs w:val="18"/>
          <w:color w:val="111111"/>
        </w:rPr>
        <w:t xml:space="preserve"> </w:t>
      </w:r>
      <w:r>
        <w:rPr>
          <w:rFonts w:ascii="Times New Roman" w:cs="Times New Roman" w:eastAsia="Times New Roman" w:hAnsi="Times New Roman"/>
          <w:sz w:val="18"/>
          <w:szCs w:val="18"/>
          <w:color w:val="000000"/>
        </w:rPr>
        <w:t>10.1 to the Company’s Registration Statement on Form S-1 filed with the Securities and Exchange Commission on September 19, 2025.</w:t>
      </w:r>
    </w:p>
    <w:p>
      <w:pPr>
        <w:spacing w:after="0" w:line="203"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There is no arrangement or understanding with any other person pursuant to which Mr. Nolf was appointed to serve as Chief Financial Officer of the Company, and there are no family relationships between Mr. Nolf and any director or executive officer of the Company. Additionally, there are no transactions between Mr. Nolf and the Company that would be required to be reported under Item 404 of Regulation S-K.</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February 11, 2026, the Company issued a press release announcing the appointment of Mr. Nolf as the Company’s Chief Financial Officer. A copy of the Company’s press release is furnished as Exhibit 99.1 to this Current Report on Form 8-K and incorporated herein by reference.</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information furnished pursuant to Item 7.01 of this Current Report on Form 8-K, including Exhibit 99.1 furnished herewith,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20" w:type="dxa"/>
            <w:vAlign w:val="bottom"/>
          </w:tcPr>
          <w:p>
            <w:pPr>
              <w:spacing w:after="0"/>
              <w:rPr>
                <w:sz w:val="16"/>
                <w:szCs w:val="16"/>
                <w:color w:val="auto"/>
              </w:rPr>
            </w:pPr>
          </w:p>
        </w:tc>
        <w:tc>
          <w:tcPr>
            <w:tcW w:w="9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3"/>
        </w:trPr>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700" w:type="dxa"/>
            <w:vAlign w:val="bottom"/>
            <w:gridSpan w:val="2"/>
            <w:vMerge w:val="restart"/>
          </w:tcPr>
          <w:p>
            <w:pPr>
              <w:spacing w:after="0"/>
              <w:rPr>
                <w:sz w:val="20"/>
                <w:szCs w:val="20"/>
                <w:color w:val="auto"/>
              </w:rPr>
            </w:pPr>
            <w:r>
              <w:rPr>
                <w:rFonts w:ascii="Arial" w:cs="Arial" w:eastAsia="Arial" w:hAnsi="Arial"/>
                <w:sz w:val="18"/>
                <w:szCs w:val="18"/>
                <w:color w:val="auto"/>
              </w:rPr>
              <w:t>Press Release dated February 11, 2026.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0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99.</w:t>
            </w:r>
            <w:r>
              <w:rPr>
                <w:rFonts w:ascii="Times New Roman" w:cs="Times New Roman" w:eastAsia="Times New Roman" w:hAnsi="Times New Roman"/>
                <w:sz w:val="18"/>
                <w:szCs w:val="18"/>
                <w:u w:val="single" w:color="auto"/>
                <w:color w:val="auto"/>
              </w:rPr>
              <w:t>1</w:t>
            </w:r>
          </w:p>
        </w:tc>
        <w:tc>
          <w:tcPr>
            <w:tcW w:w="120" w:type="dxa"/>
            <w:vAlign w:val="bottom"/>
          </w:tcPr>
          <w:p>
            <w:pPr>
              <w:spacing w:after="0"/>
              <w:rPr>
                <w:sz w:val="15"/>
                <w:szCs w:val="15"/>
                <w:color w:val="auto"/>
              </w:rPr>
            </w:pPr>
          </w:p>
        </w:tc>
        <w:tc>
          <w:tcPr>
            <w:tcW w:w="9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748"/>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6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7820" w:type="dxa"/>
            <w:vAlign w:val="bottom"/>
            <w:gridSpan w:val="2"/>
          </w:tcPr>
          <w:p>
            <w:pPr>
              <w:ind w:left="1540"/>
              <w:spacing w:after="0"/>
              <w:rPr>
                <w:sz w:val="20"/>
                <w:szCs w:val="20"/>
                <w:color w:val="auto"/>
              </w:rPr>
            </w:pPr>
            <w:r>
              <w:rPr>
                <w:rFonts w:ascii="Times New Roman" w:cs="Times New Roman" w:eastAsia="Times New Roman" w:hAnsi="Times New Roman"/>
                <w:sz w:val="18"/>
                <w:szCs w:val="18"/>
                <w:b w:val="1"/>
                <w:bCs w:val="1"/>
                <w:color w:val="auto"/>
              </w:rPr>
              <w:t>Navan, Inc.</w:t>
            </w:r>
          </w:p>
        </w:tc>
      </w:tr>
      <w:tr>
        <w:trPr>
          <w:trHeight w:val="44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11, 2026</w:t>
            </w:r>
          </w:p>
        </w:tc>
        <w:tc>
          <w:tcPr>
            <w:tcW w:w="782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By:   /s/ Ariel Cohen</w:t>
            </w:r>
          </w:p>
        </w:tc>
      </w:tr>
      <w:tr>
        <w:trPr>
          <w:trHeight w:val="218"/>
        </w:trPr>
        <w:tc>
          <w:tcPr>
            <w:tcW w:w="34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Ariel Cohen</w:t>
            </w:r>
          </w:p>
        </w:tc>
      </w:tr>
      <w:tr>
        <w:trPr>
          <w:trHeight w:val="234"/>
        </w:trPr>
        <w:tc>
          <w:tcPr>
            <w:tcW w:w="34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413" w:right="339" w:bottom="1440" w:gutter="0" w:footer="0" w:header="0"/>
        </w:sectPr>
      </w:pPr>
    </w:p>
    <w:bookmarkStart w:id="4" w:name="page5"/>
    <w:bookmarkEnd w:id="4"/>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Navan Names Aurélien Nolf as Chief Financial Officer</w:t>
      </w: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20"/>
          <w:szCs w:val="20"/>
          <w:i w:val="1"/>
          <w:iCs w:val="1"/>
          <w:color w:val="auto"/>
        </w:rPr>
        <w:t>Seasoned Finance Executive Brings Modern, Technology-First Mindset to CFO Role</w:t>
      </w:r>
    </w:p>
    <w:p>
      <w:pPr>
        <w:spacing w:after="0" w:line="243" w:lineRule="exact"/>
        <w:rPr>
          <w:sz w:val="20"/>
          <w:szCs w:val="20"/>
          <w:color w:val="auto"/>
        </w:rPr>
      </w:pPr>
    </w:p>
    <w:p>
      <w:pPr>
        <w:ind w:right="660"/>
        <w:spacing w:after="0" w:line="343" w:lineRule="auto"/>
        <w:rPr>
          <w:sz w:val="20"/>
          <w:szCs w:val="20"/>
          <w:color w:val="auto"/>
        </w:rPr>
      </w:pPr>
      <w:r>
        <w:rPr>
          <w:rFonts w:ascii="Arial" w:cs="Arial" w:eastAsia="Arial" w:hAnsi="Arial"/>
          <w:sz w:val="19"/>
          <w:szCs w:val="19"/>
          <w:color w:val="auto"/>
        </w:rPr>
        <w:t xml:space="preserve">PALO ALTO, CA — February 11, 2026 — </w:t>
      </w:r>
      <w:r>
        <w:rPr>
          <w:rFonts w:ascii="Arial" w:cs="Arial" w:eastAsia="Arial" w:hAnsi="Arial"/>
          <w:sz w:val="19"/>
          <w:szCs w:val="19"/>
          <w:u w:val="single" w:color="auto"/>
          <w:color w:val="1155CC"/>
        </w:rPr>
        <w:t>Navan</w:t>
      </w:r>
      <w:r>
        <w:rPr>
          <w:rFonts w:ascii="Arial" w:cs="Arial" w:eastAsia="Arial" w:hAnsi="Arial"/>
          <w:sz w:val="19"/>
          <w:szCs w:val="19"/>
          <w:color w:val="auto"/>
        </w:rPr>
        <w:t xml:space="preserve"> (NASDAQ: NAVN), the global AI-powered business travel and expense platform, today announced the appointment of Aurélien Nolf as Chief Financial Officer, effective March 2, 2026.</w:t>
      </w:r>
    </w:p>
    <w:p>
      <w:pPr>
        <w:spacing w:after="0" w:line="118" w:lineRule="exact"/>
        <w:rPr>
          <w:sz w:val="20"/>
          <w:szCs w:val="20"/>
          <w:color w:val="auto"/>
        </w:rPr>
      </w:pPr>
    </w:p>
    <w:p>
      <w:pPr>
        <w:spacing w:after="0" w:line="282" w:lineRule="auto"/>
        <w:rPr>
          <w:sz w:val="20"/>
          <w:szCs w:val="20"/>
          <w:color w:val="auto"/>
        </w:rPr>
      </w:pPr>
      <w:r>
        <w:rPr>
          <w:rFonts w:ascii="Arial" w:cs="Arial" w:eastAsia="Arial" w:hAnsi="Arial"/>
          <w:sz w:val="20"/>
          <w:szCs w:val="20"/>
          <w:color w:val="auto"/>
        </w:rPr>
        <w:t>Nolf is a seasoned finance and business leader with more than 20 years of international public company experience in FP&amp;A, controllership, investor relations, and public accounting. As VP, Head of FP&amp;A and Investor Relations at Lyft, Nolf has played an important role in that company’s ongoing transformation by improving forecasting processes, leading a series of projects that achieved sustainable profitability and free cash flow, and advancing investor targeting and marketing efforts. Prior to Lyft, he spent 15 years at Electronic Arts, serving in various finance leadership roles. He began his career in the public accounting and audit practice at PwC in Lyon, France.</w:t>
      </w:r>
    </w:p>
    <w:p>
      <w:pPr>
        <w:spacing w:after="0" w:line="174" w:lineRule="exact"/>
        <w:rPr>
          <w:sz w:val="20"/>
          <w:szCs w:val="20"/>
          <w:color w:val="auto"/>
        </w:rPr>
      </w:pPr>
    </w:p>
    <w:p>
      <w:pPr>
        <w:jc w:val="both"/>
        <w:ind w:right="280"/>
        <w:spacing w:after="0" w:line="290" w:lineRule="auto"/>
        <w:rPr>
          <w:sz w:val="20"/>
          <w:szCs w:val="20"/>
          <w:color w:val="auto"/>
        </w:rPr>
      </w:pPr>
      <w:r>
        <w:rPr>
          <w:rFonts w:ascii="Arial" w:cs="Arial" w:eastAsia="Arial" w:hAnsi="Arial"/>
          <w:sz w:val="20"/>
          <w:szCs w:val="20"/>
          <w:color w:val="auto"/>
        </w:rPr>
        <w:t>“Aurélien is the kind of CFO you hire when you plan to win,” says Navan co-founder and CEO Ariel Cohen. “He joined Navan because he believes in our team, our product, and our leadership in AI-powered travel and expense. He knows how to scale complex public companies and build alongside the teams that deliver for our customers.”</w:t>
      </w:r>
    </w:p>
    <w:p>
      <w:pPr>
        <w:spacing w:after="0" w:line="179" w:lineRule="exact"/>
        <w:rPr>
          <w:sz w:val="20"/>
          <w:szCs w:val="20"/>
          <w:color w:val="auto"/>
        </w:rPr>
      </w:pPr>
    </w:p>
    <w:p>
      <w:pPr>
        <w:ind w:right="120"/>
        <w:spacing w:after="0" w:line="279" w:lineRule="auto"/>
        <w:rPr>
          <w:sz w:val="20"/>
          <w:szCs w:val="20"/>
          <w:color w:val="auto"/>
        </w:rPr>
      </w:pPr>
      <w:r>
        <w:rPr>
          <w:rFonts w:ascii="Arial" w:cs="Arial" w:eastAsia="Arial" w:hAnsi="Arial"/>
          <w:sz w:val="20"/>
          <w:szCs w:val="20"/>
          <w:color w:val="auto"/>
        </w:rPr>
        <w:t>“I’m excited to join Navan, which operates at the intersection of everything I value in finance – real-time data, end-to-end automation, and operational transparency,” says Nolf. “As a Navan customer at Lyft, I know why companies value the platform so much: its AI foundation delivers a seamless experience for end users and significant savings for budget holders. Navan has the unique ability to redefine travel for both businesses and frequent travelers by leveraging its deep industry experience. My goal is to ensure that the Company’s financial foundation is as cutting-edge and agile as the experience we deliver for our users.”</w:t>
      </w:r>
    </w:p>
    <w:p>
      <w:pPr>
        <w:spacing w:after="0" w:line="191"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Navan replaces legacy T&amp;E systems and outdated travel agencies with a modern travel and expense platform that makes travel easy for every frequent traveler. Through early implementation of AI technology, Navan helps travelers, businesses, and suppliers – such as airlines, hotels, and rail carriers – win. Travelers are able to book their personalized trips within minutes, receive industry-leading support within seconds, and fully automate their expenses. Companies also gain real-time control and visibility on their T&amp;E spend, while suppliers are able to offer their inventory to more travelers directly. Navan’s AI helps over 10,000 companies make millions of bookings each year while saving time, cutting costs, and unlocking powerful data and insights.</w:t>
      </w:r>
    </w:p>
    <w:p>
      <w:pPr>
        <w:spacing w:after="0" w:line="3" w:lineRule="exact"/>
        <w:rPr>
          <w:sz w:val="20"/>
          <w:szCs w:val="20"/>
          <w:color w:val="auto"/>
        </w:rPr>
      </w:pPr>
    </w:p>
    <w:p>
      <w:pPr>
        <w:ind w:right="40"/>
        <w:spacing w:after="0" w:line="309" w:lineRule="auto"/>
        <w:rPr>
          <w:sz w:val="20"/>
          <w:szCs w:val="20"/>
          <w:color w:val="auto"/>
        </w:rPr>
      </w:pPr>
      <w:r>
        <w:rPr>
          <w:rFonts w:ascii="Arial" w:cs="Arial" w:eastAsia="Arial" w:hAnsi="Arial"/>
          <w:sz w:val="20"/>
          <w:szCs w:val="20"/>
          <w:color w:val="auto"/>
        </w:rPr>
        <w:t xml:space="preserve">This appointment follows the recent announcement of </w:t>
      </w:r>
      <w:r>
        <w:rPr>
          <w:rFonts w:ascii="Arial" w:cs="Arial" w:eastAsia="Arial" w:hAnsi="Arial"/>
          <w:sz w:val="20"/>
          <w:szCs w:val="20"/>
          <w:u w:val="single" w:color="auto"/>
          <w:color w:val="1155CC"/>
        </w:rPr>
        <w:t>Shai Weiss to Navan’s Board of Directors</w:t>
      </w:r>
      <w:r>
        <w:rPr>
          <w:rFonts w:ascii="Arial" w:cs="Arial" w:eastAsia="Arial" w:hAnsi="Arial"/>
          <w:sz w:val="20"/>
          <w:szCs w:val="20"/>
          <w:color w:val="auto"/>
        </w:rPr>
        <w:t xml:space="preserve"> and key enterprise wins for the company, including </w:t>
      </w:r>
      <w:r>
        <w:rPr>
          <w:rFonts w:ascii="Arial" w:cs="Arial" w:eastAsia="Arial" w:hAnsi="Arial"/>
          <w:sz w:val="20"/>
          <w:szCs w:val="20"/>
          <w:u w:val="single" w:color="auto"/>
          <w:color w:val="1155CC"/>
        </w:rPr>
        <w:t>Yahoo</w:t>
      </w:r>
      <w:r>
        <w:rPr>
          <w:rFonts w:ascii="Arial" w:cs="Arial" w:eastAsia="Arial" w:hAnsi="Arial"/>
          <w:sz w:val="20"/>
          <w:szCs w:val="20"/>
          <w:color w:val="auto"/>
        </w:rPr>
        <w:t xml:space="preserve"> and </w:t>
      </w:r>
      <w:r>
        <w:rPr>
          <w:rFonts w:ascii="Arial" w:cs="Arial" w:eastAsia="Arial" w:hAnsi="Arial"/>
          <w:sz w:val="20"/>
          <w:szCs w:val="20"/>
          <w:u w:val="single" w:color="auto"/>
          <w:color w:val="1155CC"/>
        </w:rPr>
        <w:t>Axel Springer</w:t>
      </w:r>
      <w:r>
        <w:rPr>
          <w:rFonts w:ascii="Arial" w:cs="Arial" w:eastAsia="Arial" w:hAnsi="Arial"/>
          <w:sz w:val="20"/>
          <w:szCs w:val="20"/>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ectPr>
          <w:pgSz w:w="11900" w:h="16838" w:orient="portrait"/>
          <w:cols w:equalWidth="0" w:num="1">
            <w:col w:w="11180"/>
          </w:cols>
          <w:pgMar w:left="320" w:top="1440" w:right="399" w:bottom="1440" w:gutter="0" w:footer="0" w:header="0"/>
        </w:sectPr>
      </w:pPr>
    </w:p>
    <w:bookmarkStart w:id="5" w:name="page6"/>
    <w:bookmarkEnd w:id="5"/>
    <w:p>
      <w:pPr>
        <w:spacing w:after="0" w:line="280" w:lineRule="auto"/>
        <w:rPr>
          <w:sz w:val="20"/>
          <w:szCs w:val="20"/>
          <w:color w:val="auto"/>
        </w:rPr>
      </w:pPr>
      <w:r>
        <w:rPr>
          <w:rFonts w:ascii="Arial" w:cs="Arial" w:eastAsia="Arial" w:hAnsi="Arial"/>
          <w:sz w:val="20"/>
          <w:szCs w:val="20"/>
          <w:color w:val="auto"/>
        </w:rPr>
        <w:t>All statements in this press release other than statements of historical fact could be deemed to be forward-looking statements within the meaning of the Private Securities Litigation Reform Act of 1995. Forward-looking statements are often identified by words such as “anticipate,” “believe,” “estimate,” “expect,” “intend,” “may,” “plan,” “project,” “will,” or similar expressions. Such statements are subject to risks, uncertainties and other factors that may cause actual results to be materially different from any future results expressed or implied by the forward-looking statements. These risks and other factors include the risks described under the caption “Risk Factors” in Navan’s Quarterly Report on Form 10-Q filed with the Securities and Exchange Commission (“SEC”) on December 15, 2025 and in other reports Navan files from time to time with the SEC. Except as required by law, Navan undertakes no obligation, and does not intend, to update these forward-looking statements.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Navan</w:t>
      </w:r>
    </w:p>
    <w:p>
      <w:pPr>
        <w:spacing w:after="0" w:line="43" w:lineRule="exact"/>
        <w:rPr>
          <w:sz w:val="20"/>
          <w:szCs w:val="20"/>
          <w:color w:val="auto"/>
        </w:rPr>
      </w:pPr>
    </w:p>
    <w:p>
      <w:pPr>
        <w:ind w:right="380"/>
        <w:spacing w:after="0" w:line="311" w:lineRule="auto"/>
        <w:rPr>
          <w:sz w:val="20"/>
          <w:szCs w:val="20"/>
          <w:color w:val="auto"/>
        </w:rPr>
      </w:pPr>
      <w:r>
        <w:rPr>
          <w:rFonts w:ascii="Arial" w:cs="Arial" w:eastAsia="Arial" w:hAnsi="Arial"/>
          <w:sz w:val="19"/>
          <w:szCs w:val="19"/>
          <w:color w:val="auto"/>
        </w:rPr>
        <w:t xml:space="preserve">Navan is the global AI-powered </w:t>
      </w:r>
      <w:r>
        <w:rPr>
          <w:rFonts w:ascii="Arial" w:cs="Arial" w:eastAsia="Arial" w:hAnsi="Arial"/>
          <w:sz w:val="19"/>
          <w:szCs w:val="19"/>
          <w:u w:val="single" w:color="auto"/>
          <w:color w:val="1155CC"/>
        </w:rPr>
        <w:t>business travel</w:t>
      </w:r>
      <w:r>
        <w:rPr>
          <w:rFonts w:ascii="Arial" w:cs="Arial" w:eastAsia="Arial" w:hAnsi="Arial"/>
          <w:sz w:val="19"/>
          <w:szCs w:val="19"/>
          <w:color w:val="auto"/>
        </w:rPr>
        <w:t xml:space="preserve">, and </w:t>
      </w:r>
      <w:r>
        <w:rPr>
          <w:rFonts w:ascii="Arial" w:cs="Arial" w:eastAsia="Arial" w:hAnsi="Arial"/>
          <w:sz w:val="19"/>
          <w:szCs w:val="19"/>
          <w:u w:val="single" w:color="auto"/>
          <w:color w:val="1155CC"/>
        </w:rPr>
        <w:t>expense</w:t>
      </w:r>
      <w:r>
        <w:rPr>
          <w:rFonts w:ascii="Arial" w:cs="Arial" w:eastAsia="Arial" w:hAnsi="Arial"/>
          <w:sz w:val="19"/>
          <w:szCs w:val="19"/>
          <w:color w:val="auto"/>
        </w:rPr>
        <w:t xml:space="preserve"> platform that makes travel easy for frequent travelers. From finding flights and hotels, to automating expense reconciliation, with 24/7 support along the way, Navan delivers an intuitive experience travelers love and finance teams rely on. </w:t>
      </w:r>
      <w:r>
        <w:rPr>
          <w:rFonts w:ascii="Arial" w:cs="Arial" w:eastAsia="Arial" w:hAnsi="Arial"/>
          <w:sz w:val="19"/>
          <w:szCs w:val="19"/>
          <w:u w:val="single" w:color="auto"/>
          <w:color w:val="1155CC"/>
        </w:rPr>
        <w:t>See how Navan customers benefit</w:t>
      </w:r>
      <w:r>
        <w:rPr>
          <w:rFonts w:ascii="Arial" w:cs="Arial" w:eastAsia="Arial" w:hAnsi="Arial"/>
          <w:sz w:val="19"/>
          <w:szCs w:val="19"/>
          <w:color w:val="auto"/>
        </w:rPr>
        <w:t xml:space="preserve"> and learn more at </w:t>
      </w:r>
      <w:r>
        <w:rPr>
          <w:rFonts w:ascii="Arial" w:cs="Arial" w:eastAsia="Arial" w:hAnsi="Arial"/>
          <w:sz w:val="19"/>
          <w:szCs w:val="19"/>
          <w:u w:val="single" w:color="auto"/>
          <w:color w:val="1155CC"/>
        </w:rPr>
        <w:t>navan.com</w:t>
      </w:r>
      <w:r>
        <w:rPr>
          <w:rFonts w:ascii="Arial" w:cs="Arial" w:eastAsia="Arial" w:hAnsi="Arial"/>
          <w:sz w:val="19"/>
          <w:szCs w:val="19"/>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Investor Relations: </w:t>
      </w:r>
      <w:r>
        <w:rPr>
          <w:rFonts w:ascii="Arial" w:cs="Arial" w:eastAsia="Arial" w:hAnsi="Arial"/>
          <w:sz w:val="20"/>
          <w:szCs w:val="20"/>
          <w:u w:val="single" w:color="auto"/>
          <w:color w:val="1155CC"/>
        </w:rPr>
        <w:t>investors@navan.com</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Media: </w:t>
      </w:r>
      <w:r>
        <w:rPr>
          <w:rFonts w:ascii="Arial" w:cs="Arial" w:eastAsia="Arial" w:hAnsi="Arial"/>
          <w:sz w:val="20"/>
          <w:szCs w:val="20"/>
          <w:u w:val="single" w:color="auto"/>
          <w:color w:val="1155CC"/>
        </w:rPr>
        <w:t>press@navan.com</w:t>
      </w:r>
    </w:p>
    <w:sectPr>
      <w:pgSz w:w="11900" w:h="16838" w:orient="portrait"/>
      <w:cols w:equalWidth="0" w:num="1">
        <w:col w:w="11140"/>
      </w:cols>
      <w:pgMar w:left="320" w:top="142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17" Type="http://schemas.openxmlformats.org/officeDocument/2006/relationships/hyperlink" Target="https://www.sec.gov/Archives/edgar/data/1639723/000162828025044812/navan-sx1a.htm#ifa73afad53404c2198f451f1c96a9518_7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2026-02-11T15:43:14Z</dcterms:created>
  <dcterms:modified xsi:type="dcterms:W3CDTF">2026-02-11T15:43:14Z</dcterms:modified>
</cp:coreProperties>
</file>